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2C1BC" w14:textId="448090EC" w:rsidR="00A73B46" w:rsidRPr="00CD4F28" w:rsidRDefault="006523F6" w:rsidP="00A73694">
      <w:pPr>
        <w:tabs>
          <w:tab w:val="left" w:pos="0"/>
        </w:tabs>
        <w:spacing w:after="120"/>
        <w:jc w:val="center"/>
        <w:rPr>
          <w:rFonts w:ascii="Arial" w:hAnsi="Arial" w:cs="Arial"/>
          <w:sz w:val="24"/>
          <w:szCs w:val="24"/>
          <w:lang w:val="en-IE"/>
        </w:rPr>
      </w:pPr>
      <w:r w:rsidRPr="00CD4F28">
        <w:rPr>
          <w:rFonts w:ascii="Arial" w:hAnsi="Arial" w:cs="Arial"/>
          <w:noProof/>
          <w:sz w:val="24"/>
          <w:szCs w:val="24"/>
          <w:lang w:bidi="ar-SA"/>
        </w:rPr>
        <w:drawing>
          <wp:anchor distT="0" distB="0" distL="114300" distR="114300" simplePos="0" relativeHeight="251658752" behindDoc="0" locked="0" layoutInCell="1" allowOverlap="1" wp14:anchorId="341AA15C" wp14:editId="157701A6">
            <wp:simplePos x="3006725" y="625475"/>
            <wp:positionH relativeFrom="margin">
              <wp:align>center</wp:align>
            </wp:positionH>
            <wp:positionV relativeFrom="margin">
              <wp:align>top</wp:align>
            </wp:positionV>
            <wp:extent cx="1828800" cy="675640"/>
            <wp:effectExtent l="0" t="0" r="0" b="0"/>
            <wp:wrapSquare wrapText="bothSides"/>
            <wp:docPr id="4" name="Picture 4" descr="Headletter_E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letter_EL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anchor>
        </w:drawing>
      </w:r>
    </w:p>
    <w:p w14:paraId="62B58AD5" w14:textId="37C1F7BD" w:rsidR="00A73B46" w:rsidRPr="00CD4F28" w:rsidRDefault="00A73B46" w:rsidP="00A73694">
      <w:pPr>
        <w:tabs>
          <w:tab w:val="left" w:pos="0"/>
        </w:tabs>
        <w:spacing w:after="120"/>
        <w:jc w:val="center"/>
        <w:rPr>
          <w:rFonts w:ascii="Arial" w:hAnsi="Arial" w:cs="Arial"/>
          <w:sz w:val="24"/>
          <w:szCs w:val="24"/>
          <w:lang w:val="en-IE"/>
        </w:rPr>
      </w:pPr>
    </w:p>
    <w:p w14:paraId="268209A4" w14:textId="77777777" w:rsidR="006523F6" w:rsidRPr="00CD4F28" w:rsidRDefault="006523F6" w:rsidP="00A73694">
      <w:pPr>
        <w:tabs>
          <w:tab w:val="left" w:pos="0"/>
        </w:tabs>
        <w:spacing w:after="120"/>
        <w:jc w:val="center"/>
        <w:rPr>
          <w:rFonts w:ascii="Arial" w:eastAsia="Times New Roman" w:hAnsi="Arial" w:cs="Arial"/>
          <w:b/>
          <w:sz w:val="24"/>
          <w:szCs w:val="24"/>
          <w:lang w:val="en-IE" w:eastAsia="en-GB"/>
        </w:rPr>
      </w:pPr>
    </w:p>
    <w:p w14:paraId="4020C74E" w14:textId="6CD34635" w:rsidR="00A73B46" w:rsidRPr="00CD4F28" w:rsidRDefault="00FF167A" w:rsidP="00A73694">
      <w:pPr>
        <w:tabs>
          <w:tab w:val="left" w:pos="0"/>
        </w:tabs>
        <w:spacing w:after="120"/>
        <w:jc w:val="center"/>
        <w:rPr>
          <w:rFonts w:ascii="Arial" w:eastAsia="Times New Roman" w:hAnsi="Arial" w:cs="Arial"/>
          <w:b/>
          <w:sz w:val="24"/>
          <w:szCs w:val="24"/>
          <w:lang w:val="en-IE" w:eastAsia="en-GB"/>
        </w:rPr>
      </w:pPr>
      <w:r w:rsidRPr="00CD4F28">
        <w:rPr>
          <w:rFonts w:ascii="Arial" w:eastAsia="Times New Roman" w:hAnsi="Arial" w:cs="Arial"/>
          <w:b/>
          <w:sz w:val="24"/>
          <w:szCs w:val="24"/>
          <w:lang w:val="en-IE" w:eastAsia="en-GB"/>
        </w:rPr>
        <w:t>Decision No 6</w:t>
      </w:r>
      <w:r w:rsidR="00A73B46" w:rsidRPr="00CD4F28">
        <w:rPr>
          <w:rFonts w:ascii="Arial" w:eastAsia="Times New Roman" w:hAnsi="Arial" w:cs="Arial"/>
          <w:b/>
          <w:sz w:val="24"/>
          <w:szCs w:val="24"/>
          <w:lang w:val="en-IE" w:eastAsia="en-GB"/>
        </w:rPr>
        <w:t>/2019</w:t>
      </w:r>
    </w:p>
    <w:p w14:paraId="448ACF68" w14:textId="0493EBCF" w:rsidR="00A73B46" w:rsidRPr="00CD4F28" w:rsidRDefault="000C69A5" w:rsidP="00A73694">
      <w:pPr>
        <w:tabs>
          <w:tab w:val="left" w:pos="0"/>
        </w:tabs>
        <w:spacing w:after="120"/>
        <w:jc w:val="center"/>
        <w:rPr>
          <w:rFonts w:ascii="Arial" w:eastAsia="Times New Roman" w:hAnsi="Arial" w:cs="Arial"/>
          <w:b/>
          <w:sz w:val="24"/>
          <w:szCs w:val="24"/>
          <w:lang w:val="en-IE" w:eastAsia="en-GB"/>
        </w:rPr>
      </w:pPr>
      <w:r w:rsidRPr="00CD4F28">
        <w:rPr>
          <w:rFonts w:ascii="Arial" w:eastAsia="Times New Roman" w:hAnsi="Arial" w:cs="Arial"/>
          <w:b/>
          <w:sz w:val="24"/>
          <w:szCs w:val="24"/>
          <w:lang w:val="en-IE" w:eastAsia="en-GB"/>
        </w:rPr>
        <w:t xml:space="preserve">of </w:t>
      </w:r>
      <w:r w:rsidR="00A73B46" w:rsidRPr="00CD4F28">
        <w:rPr>
          <w:rFonts w:ascii="Arial" w:eastAsia="Times New Roman" w:hAnsi="Arial" w:cs="Arial"/>
          <w:b/>
          <w:sz w:val="24"/>
          <w:szCs w:val="24"/>
          <w:lang w:val="en-IE" w:eastAsia="en-GB"/>
        </w:rPr>
        <w:t>3 December 2019</w:t>
      </w:r>
    </w:p>
    <w:p w14:paraId="1C439AFB" w14:textId="77777777" w:rsidR="00A73B46" w:rsidRPr="00CD4F28" w:rsidRDefault="00A73B46" w:rsidP="00A73694">
      <w:pPr>
        <w:tabs>
          <w:tab w:val="left" w:pos="0"/>
        </w:tabs>
        <w:spacing w:after="120"/>
        <w:jc w:val="center"/>
        <w:rPr>
          <w:rFonts w:ascii="Arial" w:eastAsia="Arial" w:hAnsi="Arial" w:cs="Arial"/>
          <w:b/>
          <w:sz w:val="24"/>
          <w:szCs w:val="24"/>
          <w:lang w:val="en-IE" w:eastAsia="en-GB"/>
        </w:rPr>
      </w:pPr>
      <w:r w:rsidRPr="00CD4F28">
        <w:rPr>
          <w:rFonts w:ascii="Arial" w:eastAsia="Arial" w:hAnsi="Arial" w:cs="Arial"/>
          <w:b/>
          <w:sz w:val="24"/>
          <w:szCs w:val="24"/>
          <w:lang w:val="en-IE" w:eastAsia="en-GB"/>
        </w:rPr>
        <w:t>of the Management Board</w:t>
      </w:r>
    </w:p>
    <w:p w14:paraId="689D4C9F" w14:textId="1792BEF6" w:rsidR="00A73B46" w:rsidRPr="00CD4F28" w:rsidRDefault="00A73B46" w:rsidP="00A73694">
      <w:pPr>
        <w:tabs>
          <w:tab w:val="left" w:pos="0"/>
        </w:tabs>
        <w:spacing w:after="120"/>
        <w:ind w:right="206"/>
        <w:jc w:val="center"/>
        <w:rPr>
          <w:rFonts w:ascii="Arial" w:hAnsi="Arial" w:cs="Arial"/>
          <w:b/>
          <w:sz w:val="24"/>
          <w:szCs w:val="24"/>
          <w:lang w:val="en-IE" w:eastAsia="en-GB"/>
        </w:rPr>
      </w:pPr>
      <w:r w:rsidRPr="00CD4F28">
        <w:rPr>
          <w:rFonts w:ascii="Arial" w:hAnsi="Arial" w:cs="Arial"/>
          <w:b/>
          <w:sz w:val="24"/>
          <w:szCs w:val="24"/>
          <w:lang w:val="en-IE" w:eastAsia="en-GB"/>
        </w:rPr>
        <w:t xml:space="preserve">on the </w:t>
      </w:r>
      <w:r w:rsidR="00707A21" w:rsidRPr="00CD4F28">
        <w:rPr>
          <w:rFonts w:ascii="Arial" w:hAnsi="Arial" w:cs="Arial"/>
          <w:b/>
          <w:sz w:val="24"/>
          <w:szCs w:val="24"/>
          <w:lang w:val="en-IE" w:eastAsia="en-GB"/>
        </w:rPr>
        <w:t>w</w:t>
      </w:r>
      <w:r w:rsidRPr="00CD4F28">
        <w:rPr>
          <w:rFonts w:ascii="Arial" w:hAnsi="Arial" w:cs="Arial"/>
          <w:b/>
          <w:sz w:val="24"/>
          <w:szCs w:val="24"/>
          <w:lang w:val="en-IE" w:eastAsia="en-GB"/>
        </w:rPr>
        <w:t xml:space="preserve">ork </w:t>
      </w:r>
      <w:r w:rsidR="00707A21" w:rsidRPr="00CD4F28">
        <w:rPr>
          <w:rFonts w:ascii="Arial" w:hAnsi="Arial" w:cs="Arial"/>
          <w:b/>
          <w:sz w:val="24"/>
          <w:szCs w:val="24"/>
          <w:lang w:val="en-IE" w:eastAsia="en-GB"/>
        </w:rPr>
        <w:t>p</w:t>
      </w:r>
      <w:r w:rsidRPr="00CD4F28">
        <w:rPr>
          <w:rFonts w:ascii="Arial" w:hAnsi="Arial" w:cs="Arial"/>
          <w:b/>
          <w:sz w:val="24"/>
          <w:szCs w:val="24"/>
          <w:lang w:val="en-IE" w:eastAsia="en-GB"/>
        </w:rPr>
        <w:t>rogramme of the European Labour Authority for 2020</w:t>
      </w:r>
    </w:p>
    <w:p w14:paraId="75916DDD" w14:textId="77777777" w:rsidR="00A73B46" w:rsidRPr="00CD4F28" w:rsidRDefault="00A73B46" w:rsidP="00A73694">
      <w:pPr>
        <w:tabs>
          <w:tab w:val="left" w:pos="0"/>
        </w:tabs>
        <w:spacing w:after="120"/>
        <w:rPr>
          <w:rFonts w:ascii="Arial" w:eastAsia="Times New Roman" w:hAnsi="Arial" w:cs="Arial"/>
          <w:sz w:val="24"/>
          <w:szCs w:val="24"/>
          <w:lang w:val="en-IE" w:eastAsia="en-GB"/>
        </w:rPr>
      </w:pPr>
    </w:p>
    <w:p w14:paraId="6730AC05" w14:textId="77777777" w:rsidR="00A73B46" w:rsidRPr="00CD4F28" w:rsidRDefault="00A73B46" w:rsidP="00A73694">
      <w:pPr>
        <w:tabs>
          <w:tab w:val="left" w:pos="0"/>
        </w:tabs>
        <w:spacing w:after="120"/>
        <w:ind w:right="206"/>
        <w:jc w:val="both"/>
        <w:rPr>
          <w:rFonts w:ascii="Arial" w:hAnsi="Arial" w:cs="Arial"/>
          <w:sz w:val="24"/>
          <w:szCs w:val="24"/>
          <w:lang w:val="en-IE" w:eastAsia="en-GB"/>
        </w:rPr>
      </w:pPr>
      <w:r w:rsidRPr="00CD4F28">
        <w:rPr>
          <w:rFonts w:ascii="Arial" w:hAnsi="Arial" w:cs="Arial"/>
          <w:sz w:val="24"/>
          <w:szCs w:val="24"/>
          <w:lang w:val="en-IE" w:eastAsia="en-GB"/>
        </w:rPr>
        <w:t xml:space="preserve">THE MANAGEMENT BOARD OF THE EUROPEAN LABOUR AUTHORITY, </w:t>
      </w:r>
    </w:p>
    <w:p w14:paraId="51443C05" w14:textId="72F669C0" w:rsidR="00A73B46" w:rsidRPr="00CD4F28" w:rsidRDefault="00A73B46" w:rsidP="00A73694">
      <w:pPr>
        <w:tabs>
          <w:tab w:val="left" w:pos="0"/>
        </w:tabs>
        <w:spacing w:after="120"/>
        <w:ind w:right="206"/>
        <w:jc w:val="both"/>
        <w:rPr>
          <w:rFonts w:ascii="Arial" w:eastAsia="Times New Roman" w:hAnsi="Arial" w:cs="Arial"/>
          <w:sz w:val="24"/>
          <w:szCs w:val="24"/>
          <w:lang w:val="en-IE" w:eastAsia="en-GB"/>
        </w:rPr>
      </w:pPr>
      <w:r w:rsidRPr="00CD4F28">
        <w:rPr>
          <w:rFonts w:ascii="Arial" w:eastAsia="Times New Roman" w:hAnsi="Arial" w:cs="Arial"/>
          <w:sz w:val="24"/>
          <w:szCs w:val="24"/>
          <w:lang w:val="en-IE" w:eastAsia="en-GB"/>
        </w:rPr>
        <w:t>Having regard to Regulation (EU) 2019/1149 of the European Parliament and of the Council of 20 June 2019</w:t>
      </w:r>
      <w:r w:rsidRPr="00CD4F28">
        <w:rPr>
          <w:rFonts w:ascii="Arial" w:hAnsi="Arial" w:cs="Arial"/>
          <w:sz w:val="24"/>
          <w:szCs w:val="24"/>
          <w:lang w:val="en-IE" w:eastAsia="en-GB"/>
        </w:rPr>
        <w:t xml:space="preserve"> </w:t>
      </w:r>
      <w:r w:rsidRPr="00CD4F28">
        <w:rPr>
          <w:rFonts w:ascii="Arial" w:eastAsia="Times New Roman" w:hAnsi="Arial" w:cs="Arial"/>
          <w:sz w:val="24"/>
          <w:szCs w:val="24"/>
          <w:lang w:val="en-IE" w:eastAsia="en-GB"/>
        </w:rPr>
        <w:t>establishing a European Labour Authority, amending Regulations (EC) No 883/2004, (EU) No 492/2011, and (EU) 2016/589 and repealing Decision (EU) 2016/344</w:t>
      </w:r>
      <w:r w:rsidRPr="00CD4F28">
        <w:rPr>
          <w:rFonts w:ascii="Arial" w:eastAsia="Times New Roman" w:hAnsi="Arial" w:cs="Arial"/>
          <w:sz w:val="24"/>
          <w:szCs w:val="24"/>
          <w:vertAlign w:val="superscript"/>
          <w:lang w:val="en-IE" w:eastAsia="en-GB"/>
        </w:rPr>
        <w:footnoteReference w:id="2"/>
      </w:r>
      <w:r w:rsidRPr="00CD4F28">
        <w:rPr>
          <w:rFonts w:ascii="Arial" w:eastAsia="Times New Roman" w:hAnsi="Arial" w:cs="Arial"/>
          <w:sz w:val="24"/>
          <w:szCs w:val="24"/>
          <w:lang w:val="en-IE" w:eastAsia="en-GB"/>
        </w:rPr>
        <w:t xml:space="preserve"> (“the Founding Regulation” and “the Authority”), and in particular Article </w:t>
      </w:r>
      <w:r w:rsidR="008A1C68" w:rsidRPr="00CD4F28">
        <w:rPr>
          <w:rFonts w:ascii="Arial" w:eastAsia="Times New Roman" w:hAnsi="Arial" w:cs="Arial"/>
          <w:sz w:val="24"/>
          <w:szCs w:val="24"/>
          <w:lang w:val="en-IE" w:eastAsia="en-GB"/>
        </w:rPr>
        <w:t>24</w:t>
      </w:r>
      <w:r w:rsidRPr="00CD4F28">
        <w:rPr>
          <w:rFonts w:ascii="Arial" w:eastAsia="Times New Roman" w:hAnsi="Arial" w:cs="Arial"/>
          <w:sz w:val="24"/>
          <w:szCs w:val="24"/>
          <w:lang w:val="en-IE" w:eastAsia="en-GB"/>
        </w:rPr>
        <w:t xml:space="preserve"> thereof,</w:t>
      </w:r>
    </w:p>
    <w:p w14:paraId="41BF5D7D" w14:textId="1B8598B9" w:rsidR="00A73B46" w:rsidRPr="00CD4F28" w:rsidRDefault="00A73B46" w:rsidP="00A73694">
      <w:pPr>
        <w:tabs>
          <w:tab w:val="left" w:pos="0"/>
        </w:tabs>
        <w:spacing w:after="120"/>
        <w:ind w:right="206"/>
        <w:jc w:val="both"/>
        <w:rPr>
          <w:rFonts w:ascii="Arial" w:eastAsia="Times New Roman" w:hAnsi="Arial" w:cs="Arial"/>
          <w:sz w:val="24"/>
          <w:szCs w:val="24"/>
          <w:lang w:val="en-IE" w:eastAsia="en-GB"/>
        </w:rPr>
      </w:pPr>
      <w:r w:rsidRPr="00CD4F28">
        <w:rPr>
          <w:rFonts w:ascii="Arial" w:eastAsia="Times New Roman" w:hAnsi="Arial" w:cs="Arial"/>
          <w:sz w:val="24"/>
          <w:szCs w:val="24"/>
          <w:lang w:val="en-IE" w:eastAsia="en-GB"/>
        </w:rPr>
        <w:t>Whereas:</w:t>
      </w:r>
    </w:p>
    <w:p w14:paraId="50A57817" w14:textId="5C76C1BA" w:rsidR="00F817C0" w:rsidRPr="00CD4F28" w:rsidRDefault="00F404EF" w:rsidP="00D03DF3">
      <w:pPr>
        <w:pStyle w:val="ListParagraph"/>
        <w:widowControl/>
        <w:numPr>
          <w:ilvl w:val="0"/>
          <w:numId w:val="14"/>
        </w:numPr>
        <w:shd w:val="clear" w:color="auto" w:fill="FFFFFF" w:themeFill="background1"/>
        <w:tabs>
          <w:tab w:val="left" w:pos="709"/>
        </w:tabs>
        <w:autoSpaceDE/>
        <w:autoSpaceDN/>
        <w:spacing w:after="120"/>
        <w:ind w:right="204"/>
        <w:jc w:val="both"/>
        <w:rPr>
          <w:rFonts w:ascii="Arial" w:eastAsia="Times New Roman" w:hAnsi="Arial" w:cs="Arial"/>
          <w:sz w:val="24"/>
          <w:szCs w:val="24"/>
          <w:lang w:val="en-IE" w:eastAsia="en-GB"/>
        </w:rPr>
      </w:pPr>
      <w:r w:rsidRPr="00CD4F28">
        <w:rPr>
          <w:rFonts w:ascii="Arial" w:eastAsia="Times New Roman" w:hAnsi="Arial" w:cs="Arial"/>
          <w:sz w:val="24"/>
          <w:szCs w:val="24"/>
          <w:lang w:val="en-IE" w:eastAsia="en-GB"/>
        </w:rPr>
        <w:t>In order to ensure the implementation of the activities of the Authority, it is necessary to adopt a</w:t>
      </w:r>
      <w:r w:rsidR="00707A21" w:rsidRPr="00CD4F28">
        <w:rPr>
          <w:rFonts w:ascii="Arial" w:eastAsia="Times New Roman" w:hAnsi="Arial" w:cs="Arial"/>
          <w:sz w:val="24"/>
          <w:szCs w:val="24"/>
          <w:lang w:val="en-IE" w:eastAsia="en-GB"/>
        </w:rPr>
        <w:t>n</w:t>
      </w:r>
      <w:r w:rsidRPr="00CD4F28">
        <w:rPr>
          <w:rFonts w:ascii="Arial" w:eastAsia="Times New Roman" w:hAnsi="Arial" w:cs="Arial"/>
          <w:sz w:val="24"/>
          <w:szCs w:val="24"/>
          <w:lang w:val="en-IE" w:eastAsia="en-GB"/>
        </w:rPr>
        <w:t xml:space="preserve"> annual work programme for 2020</w:t>
      </w:r>
      <w:r w:rsidR="00F817C0" w:rsidRPr="00CD4F28">
        <w:rPr>
          <w:rFonts w:ascii="Arial" w:eastAsia="Times New Roman" w:hAnsi="Arial" w:cs="Arial"/>
          <w:sz w:val="24"/>
          <w:szCs w:val="24"/>
          <w:lang w:val="en-IE" w:eastAsia="en-GB"/>
        </w:rPr>
        <w:t xml:space="preserve"> that shall be equivalent to a financing decision for the activities it covers</w:t>
      </w:r>
      <w:r w:rsidRPr="00CD4F28">
        <w:rPr>
          <w:rFonts w:ascii="Arial" w:eastAsia="Times New Roman" w:hAnsi="Arial" w:cs="Arial"/>
          <w:sz w:val="24"/>
          <w:szCs w:val="24"/>
          <w:lang w:val="en-IE" w:eastAsia="en-GB"/>
        </w:rPr>
        <w:t xml:space="preserve">. </w:t>
      </w:r>
    </w:p>
    <w:p w14:paraId="65725DCC" w14:textId="6472E37B" w:rsidR="00A73B46" w:rsidRDefault="00B03DB0" w:rsidP="00D03DF3">
      <w:pPr>
        <w:pStyle w:val="ListParagraph"/>
        <w:widowControl/>
        <w:numPr>
          <w:ilvl w:val="0"/>
          <w:numId w:val="14"/>
        </w:numPr>
        <w:shd w:val="clear" w:color="auto" w:fill="FFFFFF" w:themeFill="background1"/>
        <w:tabs>
          <w:tab w:val="left" w:pos="709"/>
        </w:tabs>
        <w:autoSpaceDE/>
        <w:autoSpaceDN/>
        <w:spacing w:after="120"/>
        <w:ind w:right="204"/>
        <w:jc w:val="both"/>
        <w:rPr>
          <w:rFonts w:ascii="Arial" w:eastAsia="Times New Roman" w:hAnsi="Arial" w:cs="Arial"/>
          <w:sz w:val="24"/>
          <w:szCs w:val="24"/>
          <w:lang w:val="en-IE" w:eastAsia="en-GB"/>
        </w:rPr>
      </w:pPr>
      <w:r w:rsidRPr="00CD4F28">
        <w:rPr>
          <w:rFonts w:ascii="Arial" w:eastAsia="Times New Roman" w:hAnsi="Arial" w:cs="Arial"/>
          <w:sz w:val="24"/>
          <w:szCs w:val="24"/>
          <w:lang w:val="en-IE" w:eastAsia="en-GB"/>
        </w:rPr>
        <w:t xml:space="preserve">According to Article </w:t>
      </w:r>
      <w:r w:rsidR="008A1C68" w:rsidRPr="00CD4F28">
        <w:rPr>
          <w:rFonts w:ascii="Arial" w:eastAsia="Times New Roman" w:hAnsi="Arial" w:cs="Arial"/>
          <w:sz w:val="24"/>
          <w:szCs w:val="24"/>
          <w:lang w:val="en-IE" w:eastAsia="en-GB"/>
        </w:rPr>
        <w:t>24</w:t>
      </w:r>
      <w:r w:rsidR="00A73B46" w:rsidRPr="00CD4F28">
        <w:rPr>
          <w:rFonts w:ascii="Arial" w:eastAsia="Times New Roman" w:hAnsi="Arial" w:cs="Arial"/>
          <w:sz w:val="24"/>
          <w:szCs w:val="24"/>
          <w:lang w:val="en-IE" w:eastAsia="en-GB"/>
        </w:rPr>
        <w:t xml:space="preserve"> of the Founding Regulation, </w:t>
      </w:r>
      <w:r w:rsidRPr="00CD4F28">
        <w:rPr>
          <w:rFonts w:ascii="Arial" w:eastAsia="Times New Roman" w:hAnsi="Arial" w:cs="Arial"/>
          <w:sz w:val="24"/>
          <w:szCs w:val="24"/>
          <w:lang w:val="en-IE" w:eastAsia="en-GB"/>
        </w:rPr>
        <w:t xml:space="preserve">the Management Board </w:t>
      </w:r>
      <w:r w:rsidR="008A1C68" w:rsidRPr="00CD4F28">
        <w:rPr>
          <w:rFonts w:ascii="Arial" w:eastAsia="Times New Roman" w:hAnsi="Arial" w:cs="Arial"/>
          <w:sz w:val="24"/>
          <w:szCs w:val="24"/>
          <w:lang w:val="en-IE" w:eastAsia="en-GB"/>
        </w:rPr>
        <w:t xml:space="preserve">should </w:t>
      </w:r>
      <w:r w:rsidRPr="00CD4F28">
        <w:rPr>
          <w:rFonts w:ascii="Arial" w:eastAsia="Times New Roman" w:hAnsi="Arial" w:cs="Arial"/>
          <w:sz w:val="24"/>
          <w:szCs w:val="24"/>
          <w:lang w:val="en-IE" w:eastAsia="en-GB"/>
        </w:rPr>
        <w:t xml:space="preserve">adopt </w:t>
      </w:r>
      <w:r w:rsidR="0050302E" w:rsidRPr="00CD4F28">
        <w:rPr>
          <w:rFonts w:ascii="Arial" w:eastAsia="Times New Roman" w:hAnsi="Arial" w:cs="Arial"/>
          <w:sz w:val="24"/>
          <w:szCs w:val="24"/>
          <w:lang w:val="en-IE" w:eastAsia="en-GB"/>
        </w:rPr>
        <w:t>the annual</w:t>
      </w:r>
      <w:r w:rsidRPr="00CD4F28">
        <w:rPr>
          <w:rFonts w:ascii="Arial" w:eastAsia="Times New Roman" w:hAnsi="Arial" w:cs="Arial"/>
          <w:sz w:val="24"/>
          <w:szCs w:val="24"/>
          <w:lang w:val="en-IE" w:eastAsia="en-GB"/>
        </w:rPr>
        <w:t xml:space="preserve"> Work Programme. </w:t>
      </w:r>
    </w:p>
    <w:p w14:paraId="268DD867" w14:textId="75EE5A53" w:rsidR="0099725A" w:rsidRPr="00CD4F28" w:rsidRDefault="0099725A" w:rsidP="00D03DF3">
      <w:pPr>
        <w:pStyle w:val="ListParagraph"/>
        <w:widowControl/>
        <w:numPr>
          <w:ilvl w:val="0"/>
          <w:numId w:val="14"/>
        </w:numPr>
        <w:shd w:val="clear" w:color="auto" w:fill="FFFFFF" w:themeFill="background1"/>
        <w:tabs>
          <w:tab w:val="left" w:pos="709"/>
        </w:tabs>
        <w:autoSpaceDE/>
        <w:autoSpaceDN/>
        <w:spacing w:after="120"/>
        <w:ind w:right="204"/>
        <w:jc w:val="both"/>
        <w:rPr>
          <w:rFonts w:ascii="Arial" w:eastAsia="Times New Roman" w:hAnsi="Arial" w:cs="Arial"/>
          <w:sz w:val="24"/>
          <w:szCs w:val="24"/>
          <w:lang w:val="en-IE" w:eastAsia="en-GB"/>
        </w:rPr>
      </w:pPr>
      <w:r>
        <w:rPr>
          <w:rFonts w:ascii="Arial" w:eastAsia="Times New Roman" w:hAnsi="Arial" w:cs="Arial"/>
          <w:sz w:val="24"/>
          <w:szCs w:val="24"/>
          <w:lang w:val="en-IE" w:eastAsia="en-GB"/>
        </w:rPr>
        <w:t xml:space="preserve">Having </w:t>
      </w:r>
      <w:r w:rsidR="004B0155">
        <w:rPr>
          <w:rFonts w:ascii="Arial" w:eastAsia="Times New Roman" w:hAnsi="Arial" w:cs="Arial"/>
          <w:sz w:val="24"/>
          <w:szCs w:val="24"/>
          <w:lang w:val="en-IE" w:eastAsia="en-GB"/>
        </w:rPr>
        <w:t xml:space="preserve">regard to </w:t>
      </w:r>
      <w:r>
        <w:rPr>
          <w:rFonts w:ascii="Arial" w:eastAsia="Times New Roman" w:hAnsi="Arial" w:cs="Arial"/>
          <w:sz w:val="24"/>
          <w:szCs w:val="24"/>
          <w:lang w:val="en-IE" w:eastAsia="en-GB"/>
        </w:rPr>
        <w:t>the opinion submitted by the Stakeholder Group, in line with Articles 23 (2) and 24 (1).</w:t>
      </w:r>
    </w:p>
    <w:p w14:paraId="68B8205A" w14:textId="540C0E46" w:rsidR="00BD42AF" w:rsidRPr="00CD4F28" w:rsidRDefault="00CE2586" w:rsidP="00D03DF3">
      <w:pPr>
        <w:pStyle w:val="ListParagraph"/>
        <w:widowControl/>
        <w:numPr>
          <w:ilvl w:val="0"/>
          <w:numId w:val="14"/>
        </w:numPr>
        <w:shd w:val="clear" w:color="auto" w:fill="FFFFFF" w:themeFill="background1"/>
        <w:tabs>
          <w:tab w:val="left" w:pos="709"/>
        </w:tabs>
        <w:autoSpaceDE/>
        <w:autoSpaceDN/>
        <w:spacing w:after="120"/>
        <w:ind w:right="204"/>
        <w:jc w:val="both"/>
        <w:rPr>
          <w:rFonts w:ascii="Arial" w:eastAsia="Times New Roman" w:hAnsi="Arial" w:cs="Arial"/>
          <w:sz w:val="24"/>
          <w:szCs w:val="24"/>
          <w:lang w:val="en-IE" w:eastAsia="en-GB"/>
        </w:rPr>
      </w:pPr>
      <w:r w:rsidRPr="00CD4F28">
        <w:rPr>
          <w:rFonts w:ascii="Arial" w:eastAsia="Times New Roman" w:hAnsi="Arial" w:cs="Arial"/>
          <w:sz w:val="24"/>
          <w:szCs w:val="24"/>
          <w:lang w:val="en-IE" w:eastAsia="en-GB"/>
        </w:rPr>
        <w:t xml:space="preserve">In order to allow for flexibility in the implementation of the </w:t>
      </w:r>
      <w:r w:rsidR="008C3737" w:rsidRPr="00CD4F28">
        <w:rPr>
          <w:rFonts w:ascii="Arial" w:eastAsia="Times New Roman" w:hAnsi="Arial" w:cs="Arial"/>
          <w:sz w:val="24"/>
          <w:szCs w:val="24"/>
          <w:lang w:val="en-IE" w:eastAsia="en-GB"/>
        </w:rPr>
        <w:t xml:space="preserve">annual </w:t>
      </w:r>
      <w:r w:rsidRPr="00CD4F28">
        <w:rPr>
          <w:rFonts w:ascii="Arial" w:eastAsia="Times New Roman" w:hAnsi="Arial" w:cs="Arial"/>
          <w:sz w:val="24"/>
          <w:szCs w:val="24"/>
          <w:lang w:val="en-IE" w:eastAsia="en-GB"/>
        </w:rPr>
        <w:t xml:space="preserve">work programme, it is appropriate to </w:t>
      </w:r>
      <w:r w:rsidR="008C3737" w:rsidRPr="00CD4F28">
        <w:rPr>
          <w:rFonts w:ascii="Arial" w:eastAsia="Times New Roman" w:hAnsi="Arial" w:cs="Arial"/>
          <w:sz w:val="24"/>
          <w:szCs w:val="24"/>
          <w:lang w:val="en-IE" w:eastAsia="en-GB"/>
        </w:rPr>
        <w:t>delegate the power to make non-substantial amendments to the annual work programme to the Executive Director</w:t>
      </w:r>
      <w:r w:rsidR="0099725A">
        <w:rPr>
          <w:rFonts w:ascii="Arial" w:eastAsia="Times New Roman" w:hAnsi="Arial" w:cs="Arial"/>
          <w:sz w:val="24"/>
          <w:szCs w:val="24"/>
          <w:lang w:val="en-IE" w:eastAsia="en-GB"/>
        </w:rPr>
        <w:t>.</w:t>
      </w:r>
      <w:r w:rsidR="00BD42AF" w:rsidRPr="00CD4F28" w:rsidDel="00BD42AF">
        <w:rPr>
          <w:rFonts w:ascii="Arial" w:eastAsia="Times New Roman" w:hAnsi="Arial" w:cs="Arial"/>
          <w:sz w:val="24"/>
          <w:szCs w:val="24"/>
          <w:lang w:val="en-IE" w:eastAsia="en-GB"/>
        </w:rPr>
        <w:t xml:space="preserve"> </w:t>
      </w:r>
      <w:bookmarkStart w:id="0" w:name="page2"/>
      <w:bookmarkEnd w:id="0"/>
    </w:p>
    <w:p w14:paraId="18A20BC6" w14:textId="4027425B" w:rsidR="00A73B46" w:rsidRPr="00CD4F28" w:rsidRDefault="00A73B46" w:rsidP="00BD42AF">
      <w:pPr>
        <w:widowControl/>
        <w:shd w:val="clear" w:color="auto" w:fill="FFFFFF" w:themeFill="background1"/>
        <w:tabs>
          <w:tab w:val="left" w:pos="0"/>
          <w:tab w:val="left" w:pos="709"/>
        </w:tabs>
        <w:autoSpaceDE/>
        <w:autoSpaceDN/>
        <w:adjustRightInd w:val="0"/>
        <w:spacing w:after="120"/>
        <w:ind w:right="204"/>
        <w:jc w:val="both"/>
        <w:rPr>
          <w:rFonts w:ascii="Arial" w:hAnsi="Arial" w:cs="Arial"/>
          <w:sz w:val="24"/>
          <w:szCs w:val="24"/>
          <w:lang w:val="en-IE" w:eastAsia="en-GB"/>
        </w:rPr>
      </w:pPr>
      <w:r w:rsidRPr="00CD4F28">
        <w:rPr>
          <w:rFonts w:ascii="Arial" w:hAnsi="Arial" w:cs="Arial"/>
          <w:sz w:val="24"/>
          <w:szCs w:val="24"/>
          <w:lang w:val="en-IE" w:eastAsia="en-GB"/>
        </w:rPr>
        <w:t xml:space="preserve">HAS </w:t>
      </w:r>
      <w:r w:rsidR="00B03DB0" w:rsidRPr="00CD4F28">
        <w:rPr>
          <w:rFonts w:ascii="Arial" w:hAnsi="Arial" w:cs="Arial"/>
          <w:sz w:val="24"/>
          <w:szCs w:val="24"/>
          <w:lang w:val="en-IE" w:eastAsia="en-GB"/>
        </w:rPr>
        <w:t xml:space="preserve">ADOPTED THIS </w:t>
      </w:r>
      <w:r w:rsidR="00241457" w:rsidRPr="00CD4F28">
        <w:rPr>
          <w:rFonts w:ascii="Arial" w:hAnsi="Arial" w:cs="Arial"/>
          <w:sz w:val="24"/>
          <w:szCs w:val="24"/>
          <w:lang w:val="en-IE" w:eastAsia="en-GB"/>
        </w:rPr>
        <w:t>DECISION</w:t>
      </w:r>
      <w:r w:rsidRPr="00CD4F28">
        <w:rPr>
          <w:rFonts w:ascii="Arial" w:hAnsi="Arial" w:cs="Arial"/>
          <w:sz w:val="24"/>
          <w:szCs w:val="24"/>
          <w:lang w:val="en-IE" w:eastAsia="en-GB"/>
        </w:rPr>
        <w:t>:</w:t>
      </w:r>
    </w:p>
    <w:p w14:paraId="4119DCF8" w14:textId="284EF5A9" w:rsidR="00CE2586" w:rsidRPr="00CD4F28" w:rsidRDefault="002856F2" w:rsidP="00A73694">
      <w:pPr>
        <w:pStyle w:val="Titrearticle"/>
        <w:keepNext w:val="0"/>
        <w:rPr>
          <w:rFonts w:ascii="Arial" w:hAnsi="Arial" w:cs="Arial"/>
          <w:noProof/>
        </w:rPr>
      </w:pPr>
      <w:r w:rsidRPr="00CD4F28">
        <w:rPr>
          <w:rFonts w:ascii="Arial" w:hAnsi="Arial" w:cs="Arial"/>
          <w:noProof/>
        </w:rPr>
        <w:t>Article 1</w:t>
      </w:r>
      <w:r w:rsidRPr="00CD4F28">
        <w:rPr>
          <w:rFonts w:ascii="Arial" w:hAnsi="Arial" w:cs="Arial"/>
          <w:noProof/>
        </w:rPr>
        <w:br/>
      </w:r>
      <w:r w:rsidR="00CE2586" w:rsidRPr="00CD4F28">
        <w:rPr>
          <w:rFonts w:ascii="Arial" w:hAnsi="Arial" w:cs="Arial"/>
          <w:noProof/>
        </w:rPr>
        <w:t xml:space="preserve">The </w:t>
      </w:r>
      <w:r w:rsidR="00707A21" w:rsidRPr="00CD4F28">
        <w:rPr>
          <w:rFonts w:ascii="Arial" w:hAnsi="Arial" w:cs="Arial"/>
          <w:noProof/>
        </w:rPr>
        <w:t>w</w:t>
      </w:r>
      <w:r w:rsidR="00CE2586" w:rsidRPr="00CD4F28">
        <w:rPr>
          <w:rFonts w:ascii="Arial" w:hAnsi="Arial" w:cs="Arial"/>
          <w:noProof/>
        </w:rPr>
        <w:t xml:space="preserve">ork </w:t>
      </w:r>
      <w:r w:rsidR="00707A21" w:rsidRPr="00CD4F28">
        <w:rPr>
          <w:rFonts w:ascii="Arial" w:hAnsi="Arial" w:cs="Arial"/>
          <w:noProof/>
        </w:rPr>
        <w:t>p</w:t>
      </w:r>
      <w:r w:rsidR="00CE2586" w:rsidRPr="00CD4F28">
        <w:rPr>
          <w:rFonts w:ascii="Arial" w:hAnsi="Arial" w:cs="Arial"/>
          <w:noProof/>
        </w:rPr>
        <w:t>rogramme</w:t>
      </w:r>
    </w:p>
    <w:p w14:paraId="183EF75A" w14:textId="6D3CE26B" w:rsidR="00CE2586" w:rsidRPr="00CD4F28" w:rsidRDefault="00707A21" w:rsidP="00A73694">
      <w:pPr>
        <w:jc w:val="both"/>
        <w:rPr>
          <w:rFonts w:ascii="Arial" w:hAnsi="Arial" w:cs="Arial"/>
          <w:noProof/>
          <w:sz w:val="24"/>
          <w:szCs w:val="24"/>
        </w:rPr>
      </w:pPr>
      <w:r w:rsidRPr="00CD4F28">
        <w:rPr>
          <w:rFonts w:ascii="Arial" w:hAnsi="Arial" w:cs="Arial"/>
          <w:sz w:val="24"/>
          <w:szCs w:val="24"/>
        </w:rPr>
        <w:t>T</w:t>
      </w:r>
      <w:r w:rsidR="00CE2586" w:rsidRPr="00CD4F28">
        <w:rPr>
          <w:rFonts w:ascii="Arial" w:hAnsi="Arial" w:cs="Arial"/>
          <w:noProof/>
          <w:sz w:val="24"/>
          <w:szCs w:val="24"/>
        </w:rPr>
        <w:t xml:space="preserve">he </w:t>
      </w:r>
      <w:r w:rsidR="00CE2586" w:rsidRPr="00CD4F28">
        <w:rPr>
          <w:rFonts w:ascii="Arial" w:hAnsi="Arial" w:cs="Arial"/>
          <w:sz w:val="24"/>
          <w:szCs w:val="24"/>
        </w:rPr>
        <w:t>annual</w:t>
      </w:r>
      <w:r w:rsidR="00675E15" w:rsidRPr="00CD4F28">
        <w:rPr>
          <w:rFonts w:ascii="Arial" w:hAnsi="Arial" w:cs="Arial"/>
          <w:noProof/>
          <w:sz w:val="24"/>
          <w:szCs w:val="24"/>
        </w:rPr>
        <w:t xml:space="preserve"> work programme for the </w:t>
      </w:r>
      <w:r w:rsidR="00CE2586" w:rsidRPr="00CD4F28">
        <w:rPr>
          <w:rFonts w:ascii="Arial" w:hAnsi="Arial" w:cs="Arial"/>
          <w:noProof/>
          <w:sz w:val="24"/>
          <w:szCs w:val="24"/>
        </w:rPr>
        <w:t xml:space="preserve">implementation of the </w:t>
      </w:r>
      <w:r w:rsidR="00241457" w:rsidRPr="00CD4F28">
        <w:rPr>
          <w:rFonts w:ascii="Arial" w:hAnsi="Arial" w:cs="Arial"/>
          <w:noProof/>
          <w:sz w:val="24"/>
          <w:szCs w:val="24"/>
        </w:rPr>
        <w:t xml:space="preserve">activities of the </w:t>
      </w:r>
      <w:r w:rsidR="00CE2586" w:rsidRPr="00CD4F28">
        <w:rPr>
          <w:rFonts w:ascii="Arial" w:hAnsi="Arial" w:cs="Arial"/>
          <w:noProof/>
          <w:sz w:val="24"/>
          <w:szCs w:val="24"/>
        </w:rPr>
        <w:t>European Labour Authority for</w:t>
      </w:r>
      <w:r w:rsidR="008A1C68" w:rsidRPr="00CD4F28">
        <w:rPr>
          <w:rFonts w:ascii="Arial" w:hAnsi="Arial" w:cs="Arial"/>
          <w:noProof/>
          <w:sz w:val="24"/>
          <w:szCs w:val="24"/>
        </w:rPr>
        <w:t xml:space="preserve"> the</w:t>
      </w:r>
      <w:r w:rsidR="00CE2586" w:rsidRPr="00CD4F28">
        <w:rPr>
          <w:rFonts w:ascii="Arial" w:hAnsi="Arial" w:cs="Arial"/>
          <w:noProof/>
          <w:sz w:val="24"/>
          <w:szCs w:val="24"/>
        </w:rPr>
        <w:t xml:space="preserve"> </w:t>
      </w:r>
      <w:r w:rsidR="00CE2586" w:rsidRPr="00CD4F28">
        <w:rPr>
          <w:rStyle w:val="Marker"/>
          <w:rFonts w:ascii="Arial" w:hAnsi="Arial" w:cs="Arial"/>
          <w:color w:val="auto"/>
          <w:sz w:val="24"/>
          <w:szCs w:val="24"/>
        </w:rPr>
        <w:t>year 2020</w:t>
      </w:r>
      <w:r w:rsidR="00CE2586" w:rsidRPr="00CD4F28">
        <w:rPr>
          <w:rFonts w:ascii="Arial" w:hAnsi="Arial" w:cs="Arial"/>
          <w:noProof/>
          <w:sz w:val="24"/>
          <w:szCs w:val="24"/>
        </w:rPr>
        <w:t xml:space="preserve">, </w:t>
      </w:r>
      <w:r w:rsidRPr="00CD4F28">
        <w:rPr>
          <w:rFonts w:ascii="Arial" w:hAnsi="Arial" w:cs="Arial"/>
          <w:noProof/>
          <w:sz w:val="24"/>
          <w:szCs w:val="24"/>
        </w:rPr>
        <w:t xml:space="preserve">which </w:t>
      </w:r>
      <w:r w:rsidRPr="00CD4F28">
        <w:rPr>
          <w:rFonts w:ascii="Arial" w:eastAsia="Times New Roman" w:hAnsi="Arial" w:cs="Arial"/>
          <w:sz w:val="24"/>
          <w:szCs w:val="24"/>
          <w:lang w:val="en-IE" w:eastAsia="en-GB"/>
        </w:rPr>
        <w:t>shall be equivalent to a financing decision for the activities it covers</w:t>
      </w:r>
      <w:r w:rsidRPr="00CD4F28">
        <w:rPr>
          <w:rFonts w:ascii="Arial" w:hAnsi="Arial" w:cs="Arial"/>
          <w:noProof/>
          <w:sz w:val="24"/>
          <w:szCs w:val="24"/>
        </w:rPr>
        <w:t xml:space="preserve">, </w:t>
      </w:r>
      <w:r w:rsidR="00914B50" w:rsidRPr="00CD4F28">
        <w:rPr>
          <w:rFonts w:ascii="Arial" w:hAnsi="Arial" w:cs="Arial"/>
          <w:noProof/>
          <w:sz w:val="24"/>
          <w:szCs w:val="24"/>
        </w:rPr>
        <w:t xml:space="preserve">as </w:t>
      </w:r>
      <w:r w:rsidR="00CE2586" w:rsidRPr="00CD4F28">
        <w:rPr>
          <w:rFonts w:ascii="Arial" w:hAnsi="Arial" w:cs="Arial"/>
          <w:noProof/>
          <w:sz w:val="24"/>
          <w:szCs w:val="24"/>
        </w:rPr>
        <w:t>set out in the Annex</w:t>
      </w:r>
      <w:r w:rsidR="00914B50" w:rsidRPr="00CD4F28">
        <w:rPr>
          <w:rFonts w:ascii="Arial" w:hAnsi="Arial" w:cs="Arial"/>
          <w:noProof/>
          <w:sz w:val="24"/>
          <w:szCs w:val="24"/>
        </w:rPr>
        <w:t>, is hereby adopted</w:t>
      </w:r>
      <w:r w:rsidR="00CE2586" w:rsidRPr="00CD4F28">
        <w:rPr>
          <w:rFonts w:ascii="Arial" w:hAnsi="Arial" w:cs="Arial"/>
          <w:noProof/>
          <w:sz w:val="24"/>
          <w:szCs w:val="24"/>
        </w:rPr>
        <w:t>.</w:t>
      </w:r>
    </w:p>
    <w:p w14:paraId="27360679" w14:textId="0D079F46" w:rsidR="00CE2586" w:rsidRPr="00CD4F28" w:rsidRDefault="00CE2586" w:rsidP="00A73694">
      <w:pPr>
        <w:pStyle w:val="Titrearticle"/>
        <w:keepNext w:val="0"/>
        <w:rPr>
          <w:rFonts w:ascii="Arial" w:hAnsi="Arial" w:cs="Arial"/>
          <w:noProof/>
        </w:rPr>
      </w:pPr>
      <w:r w:rsidRPr="00CD4F28">
        <w:rPr>
          <w:rFonts w:ascii="Arial" w:hAnsi="Arial" w:cs="Arial"/>
        </w:rPr>
        <w:t>Article</w:t>
      </w:r>
      <w:r w:rsidRPr="00CD4F28">
        <w:rPr>
          <w:rFonts w:ascii="Arial" w:hAnsi="Arial" w:cs="Arial"/>
          <w:noProof/>
        </w:rPr>
        <w:t xml:space="preserve"> </w:t>
      </w:r>
      <w:r w:rsidR="00F3034E" w:rsidRPr="00CD4F28">
        <w:rPr>
          <w:rFonts w:ascii="Arial" w:hAnsi="Arial" w:cs="Arial"/>
          <w:noProof/>
        </w:rPr>
        <w:t>2</w:t>
      </w:r>
      <w:r w:rsidRPr="00CD4F28">
        <w:rPr>
          <w:rFonts w:ascii="Arial" w:hAnsi="Arial" w:cs="Arial"/>
          <w:noProof/>
        </w:rPr>
        <w:br/>
      </w:r>
      <w:r w:rsidR="00707A21" w:rsidRPr="00CD4F28">
        <w:rPr>
          <w:rFonts w:ascii="Arial" w:hAnsi="Arial" w:cs="Arial"/>
          <w:noProof/>
        </w:rPr>
        <w:t>N</w:t>
      </w:r>
      <w:r w:rsidR="00707A21" w:rsidRPr="00CD4F28">
        <w:rPr>
          <w:rFonts w:ascii="Arial" w:hAnsi="Arial" w:cs="Arial"/>
          <w:lang w:val="en-IE" w:eastAsia="en-GB"/>
        </w:rPr>
        <w:t>on-substantial amendments</w:t>
      </w:r>
      <w:r w:rsidRPr="00CD4F28">
        <w:rPr>
          <w:rFonts w:ascii="Arial" w:hAnsi="Arial" w:cs="Arial"/>
          <w:noProof/>
        </w:rPr>
        <w:t xml:space="preserve"> </w:t>
      </w:r>
    </w:p>
    <w:p w14:paraId="1F0332FA" w14:textId="396A46DB" w:rsidR="00707A21" w:rsidRPr="00CD4F28" w:rsidRDefault="00707A21" w:rsidP="00A73694">
      <w:pPr>
        <w:widowControl/>
        <w:autoSpaceDE/>
        <w:autoSpaceDN/>
        <w:jc w:val="both"/>
        <w:rPr>
          <w:rFonts w:ascii="Arial" w:eastAsia="Times New Roman" w:hAnsi="Arial" w:cs="Arial"/>
          <w:sz w:val="24"/>
          <w:szCs w:val="24"/>
          <w:lang w:val="en-IE" w:eastAsia="en-GB"/>
        </w:rPr>
      </w:pPr>
      <w:r w:rsidRPr="00CD4F28">
        <w:rPr>
          <w:rFonts w:ascii="Arial" w:eastAsia="Times New Roman" w:hAnsi="Arial" w:cs="Arial"/>
          <w:sz w:val="24"/>
          <w:szCs w:val="24"/>
          <w:lang w:val="en-IE" w:eastAsia="en-GB"/>
        </w:rPr>
        <w:t>The Management Board delegates the power to make non-substantial amendments to the work programme for the year 2020 to the Executive Director.</w:t>
      </w:r>
    </w:p>
    <w:p w14:paraId="5EA32932" w14:textId="0DCA3021" w:rsidR="00CE2586" w:rsidRPr="00CD4F28" w:rsidRDefault="00CE2586" w:rsidP="00A73694">
      <w:pPr>
        <w:widowControl/>
        <w:autoSpaceDE/>
        <w:autoSpaceDN/>
        <w:jc w:val="both"/>
        <w:rPr>
          <w:rFonts w:ascii="Arial" w:eastAsiaTheme="minorHAnsi" w:hAnsi="Arial" w:cs="Arial"/>
          <w:sz w:val="24"/>
          <w:szCs w:val="24"/>
          <w:lang w:bidi="ar-SA"/>
        </w:rPr>
      </w:pPr>
      <w:r w:rsidRPr="00CD4F28">
        <w:rPr>
          <w:rFonts w:ascii="Arial" w:hAnsi="Arial" w:cs="Arial"/>
          <w:noProof/>
          <w:sz w:val="24"/>
          <w:szCs w:val="24"/>
        </w:rPr>
        <w:lastRenderedPageBreak/>
        <w:t>Cumulated changes to the</w:t>
      </w:r>
      <w:r w:rsidR="00F817C0" w:rsidRPr="00CD4F28">
        <w:rPr>
          <w:rFonts w:ascii="Arial" w:hAnsi="Arial" w:cs="Arial"/>
          <w:noProof/>
          <w:sz w:val="24"/>
          <w:szCs w:val="24"/>
        </w:rPr>
        <w:t xml:space="preserve"> amounts estimated in the annual work programme, </w:t>
      </w:r>
      <w:r w:rsidRPr="00CD4F28">
        <w:rPr>
          <w:rFonts w:ascii="Arial" w:hAnsi="Arial" w:cs="Arial"/>
          <w:noProof/>
          <w:sz w:val="24"/>
          <w:szCs w:val="24"/>
        </w:rPr>
        <w:t xml:space="preserve">not exceeding </w:t>
      </w:r>
      <w:r w:rsidR="00DF2463" w:rsidRPr="00CD4F28">
        <w:rPr>
          <w:rFonts w:ascii="Arial" w:hAnsi="Arial" w:cs="Arial"/>
          <w:noProof/>
          <w:sz w:val="24"/>
          <w:szCs w:val="24"/>
        </w:rPr>
        <w:t>20%</w:t>
      </w:r>
      <w:r w:rsidR="00F817C0" w:rsidRPr="00CD4F28">
        <w:rPr>
          <w:rFonts w:ascii="Arial" w:hAnsi="Arial" w:cs="Arial"/>
          <w:noProof/>
          <w:sz w:val="24"/>
          <w:szCs w:val="24"/>
        </w:rPr>
        <w:t>,</w:t>
      </w:r>
      <w:r w:rsidR="00DF2463" w:rsidRPr="00CD4F28">
        <w:rPr>
          <w:rFonts w:ascii="Arial" w:hAnsi="Arial" w:cs="Arial"/>
          <w:noProof/>
          <w:sz w:val="24"/>
          <w:szCs w:val="24"/>
        </w:rPr>
        <w:t xml:space="preserve"> shall </w:t>
      </w:r>
      <w:r w:rsidRPr="00CD4F28">
        <w:rPr>
          <w:rFonts w:ascii="Arial" w:hAnsi="Arial" w:cs="Arial"/>
          <w:noProof/>
          <w:sz w:val="24"/>
          <w:szCs w:val="24"/>
        </w:rPr>
        <w:t xml:space="preserve">not be considered to be substantial, where those changes do not significantly affect the nature and the objective of the actions. </w:t>
      </w:r>
    </w:p>
    <w:p w14:paraId="3F04F7F1" w14:textId="5000B2E8" w:rsidR="00707A21" w:rsidRPr="00CD4F28" w:rsidRDefault="00707A21" w:rsidP="00A73694">
      <w:pPr>
        <w:rPr>
          <w:rFonts w:ascii="Arial" w:hAnsi="Arial" w:cs="Arial"/>
          <w:noProof/>
          <w:sz w:val="24"/>
          <w:szCs w:val="24"/>
        </w:rPr>
      </w:pPr>
    </w:p>
    <w:p w14:paraId="12AE8A98" w14:textId="5AE1A62D" w:rsidR="00B45958" w:rsidRPr="00CD4F28" w:rsidRDefault="008727CB" w:rsidP="00A73694">
      <w:pPr>
        <w:rPr>
          <w:rFonts w:ascii="Arial" w:hAnsi="Arial" w:cs="Arial"/>
          <w:noProof/>
          <w:sz w:val="24"/>
          <w:szCs w:val="24"/>
        </w:rPr>
        <w:sectPr w:rsidR="00B45958" w:rsidRPr="00CD4F28" w:rsidSect="00CD4F28">
          <w:headerReference w:type="default" r:id="rId9"/>
          <w:footerReference w:type="default" r:id="rId10"/>
          <w:type w:val="continuous"/>
          <w:pgSz w:w="11910" w:h="16840"/>
          <w:pgMar w:top="1440" w:right="1440" w:bottom="1440" w:left="1440" w:header="720" w:footer="720" w:gutter="0"/>
          <w:cols w:space="720"/>
        </w:sectPr>
      </w:pPr>
      <w:r w:rsidRPr="00CD4F28">
        <w:rPr>
          <w:rFonts w:ascii="Arial" w:hAnsi="Arial" w:cs="Arial"/>
          <w:noProof/>
          <w:sz w:val="24"/>
          <w:szCs w:val="24"/>
        </w:rPr>
        <w:br w:type="page"/>
      </w:r>
    </w:p>
    <w:p w14:paraId="2FB1F8C9" w14:textId="0BB75117" w:rsidR="008727CB" w:rsidRPr="00CD4F28" w:rsidRDefault="00AB4D4A" w:rsidP="00A73694">
      <w:pPr>
        <w:rPr>
          <w:rFonts w:ascii="Arial" w:hAnsi="Arial" w:cs="Arial"/>
          <w:noProof/>
          <w:sz w:val="24"/>
          <w:szCs w:val="24"/>
        </w:rPr>
      </w:pPr>
      <w:r>
        <w:rPr>
          <w:rFonts w:ascii="Arial" w:hAnsi="Arial" w:cs="Arial"/>
          <w:noProof/>
          <w:sz w:val="24"/>
          <w:szCs w:val="24"/>
        </w:rPr>
        <w:lastRenderedPageBreak/>
        <w:pict w14:anchorId="0680824D">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9" type="#_x0000_t5" style="position:absolute;margin-left:-369.6pt;margin-top:-406.2pt;width:745.95pt;height:1200.55pt;z-index:-25165823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154a7" strokecolor="#0154a7" strokeweight="2pt"/>
        </w:pict>
      </w:r>
    </w:p>
    <w:p w14:paraId="62720214" w14:textId="0AA3599B" w:rsidR="008727CB" w:rsidRPr="00CD4F28" w:rsidRDefault="008727CB" w:rsidP="00A73694">
      <w:pPr>
        <w:jc w:val="center"/>
        <w:rPr>
          <w:rFonts w:ascii="Arial" w:hAnsi="Arial" w:cs="Arial"/>
          <w:b/>
          <w:color w:val="993366"/>
          <w:sz w:val="24"/>
          <w:szCs w:val="24"/>
        </w:rPr>
      </w:pPr>
      <w:r w:rsidRPr="00CD4F28">
        <w:rPr>
          <w:rFonts w:ascii="Arial" w:hAnsi="Arial" w:cs="Arial"/>
          <w:b/>
          <w:color w:val="993366"/>
          <w:sz w:val="24"/>
          <w:szCs w:val="24"/>
        </w:rPr>
        <w:t xml:space="preserve">   </w:t>
      </w:r>
    </w:p>
    <w:p w14:paraId="4AC6A47D" w14:textId="12397246" w:rsidR="008727CB" w:rsidRPr="00CD4F28" w:rsidRDefault="008727CB" w:rsidP="00A73694">
      <w:pPr>
        <w:jc w:val="center"/>
        <w:rPr>
          <w:rFonts w:ascii="Arial" w:hAnsi="Arial" w:cs="Arial"/>
          <w:b/>
          <w:color w:val="993366"/>
          <w:sz w:val="24"/>
          <w:szCs w:val="24"/>
        </w:rPr>
      </w:pPr>
    </w:p>
    <w:p w14:paraId="41A1267A" w14:textId="1DCEA5B3" w:rsidR="008727CB" w:rsidRPr="00CD4F28" w:rsidRDefault="008727CB" w:rsidP="00A73694">
      <w:pPr>
        <w:jc w:val="center"/>
        <w:rPr>
          <w:rFonts w:ascii="Arial" w:hAnsi="Arial" w:cs="Arial"/>
          <w:b/>
          <w:color w:val="993366"/>
          <w:sz w:val="24"/>
          <w:szCs w:val="24"/>
        </w:rPr>
      </w:pPr>
    </w:p>
    <w:p w14:paraId="5E4DF2B5" w14:textId="77777777" w:rsidR="008727CB" w:rsidRPr="00CD4F28" w:rsidRDefault="008727CB" w:rsidP="00A73694">
      <w:pPr>
        <w:jc w:val="center"/>
        <w:rPr>
          <w:rFonts w:ascii="Arial" w:hAnsi="Arial" w:cs="Arial"/>
          <w:b/>
          <w:color w:val="993366"/>
          <w:sz w:val="24"/>
          <w:szCs w:val="24"/>
        </w:rPr>
      </w:pPr>
    </w:p>
    <w:p w14:paraId="6F64E22B" w14:textId="45DB0261" w:rsidR="008727CB" w:rsidRPr="00CD4F28" w:rsidRDefault="008727CB" w:rsidP="00A73694">
      <w:pPr>
        <w:jc w:val="center"/>
        <w:rPr>
          <w:rFonts w:ascii="Arial" w:hAnsi="Arial" w:cs="Arial"/>
          <w:b/>
          <w:color w:val="993366"/>
          <w:sz w:val="24"/>
          <w:szCs w:val="24"/>
        </w:rPr>
      </w:pPr>
    </w:p>
    <w:p w14:paraId="0C45725A" w14:textId="77777777" w:rsidR="008727CB" w:rsidRPr="00CD4F28" w:rsidRDefault="008727CB" w:rsidP="00A73694">
      <w:pPr>
        <w:jc w:val="center"/>
        <w:rPr>
          <w:rFonts w:ascii="Arial" w:hAnsi="Arial" w:cs="Arial"/>
          <w:b/>
          <w:color w:val="993366"/>
          <w:sz w:val="24"/>
          <w:szCs w:val="24"/>
        </w:rPr>
      </w:pPr>
    </w:p>
    <w:p w14:paraId="5F409B5E" w14:textId="08321FF5" w:rsidR="008727CB" w:rsidRPr="00CD4F28" w:rsidRDefault="008727CB" w:rsidP="00A73694">
      <w:pPr>
        <w:jc w:val="center"/>
        <w:rPr>
          <w:rFonts w:ascii="Arial" w:hAnsi="Arial" w:cs="Arial"/>
          <w:b/>
          <w:color w:val="993366"/>
          <w:sz w:val="24"/>
          <w:szCs w:val="24"/>
        </w:rPr>
      </w:pPr>
    </w:p>
    <w:p w14:paraId="4C955996" w14:textId="77777777" w:rsidR="008727CB" w:rsidRPr="00CD4F28" w:rsidRDefault="008727CB" w:rsidP="00A73694">
      <w:pPr>
        <w:jc w:val="center"/>
        <w:rPr>
          <w:rFonts w:ascii="Arial" w:hAnsi="Arial" w:cs="Arial"/>
          <w:b/>
          <w:color w:val="993366"/>
          <w:sz w:val="24"/>
          <w:szCs w:val="24"/>
        </w:rPr>
      </w:pPr>
    </w:p>
    <w:p w14:paraId="189AB3AD" w14:textId="4998B0AB" w:rsidR="008727CB" w:rsidRPr="00CD4F28" w:rsidRDefault="008727CB" w:rsidP="00A73694">
      <w:pPr>
        <w:jc w:val="center"/>
        <w:rPr>
          <w:rFonts w:ascii="Arial" w:hAnsi="Arial" w:cs="Arial"/>
          <w:b/>
          <w:color w:val="993366"/>
          <w:sz w:val="24"/>
          <w:szCs w:val="24"/>
        </w:rPr>
      </w:pPr>
    </w:p>
    <w:p w14:paraId="01EBA1B5" w14:textId="3778E7F7" w:rsidR="008727CB" w:rsidRPr="00CD4F28" w:rsidRDefault="008727CB" w:rsidP="00A73694">
      <w:pPr>
        <w:jc w:val="center"/>
        <w:rPr>
          <w:rFonts w:ascii="Arial" w:hAnsi="Arial" w:cs="Arial"/>
          <w:b/>
          <w:color w:val="993366"/>
          <w:sz w:val="24"/>
          <w:szCs w:val="24"/>
        </w:rPr>
      </w:pPr>
    </w:p>
    <w:p w14:paraId="3A5C7B80" w14:textId="690840F0" w:rsidR="008727CB" w:rsidRPr="00CD4F28" w:rsidRDefault="008727CB" w:rsidP="00A73694">
      <w:pPr>
        <w:jc w:val="center"/>
        <w:rPr>
          <w:rFonts w:ascii="Arial" w:hAnsi="Arial" w:cs="Arial"/>
          <w:b/>
          <w:color w:val="993366"/>
          <w:sz w:val="24"/>
          <w:szCs w:val="24"/>
        </w:rPr>
      </w:pPr>
    </w:p>
    <w:p w14:paraId="7CB017FE" w14:textId="165803CF" w:rsidR="008727CB" w:rsidRPr="00CD4F28" w:rsidRDefault="008727CB" w:rsidP="00A73694">
      <w:pPr>
        <w:jc w:val="center"/>
        <w:rPr>
          <w:rFonts w:ascii="Arial" w:hAnsi="Arial" w:cs="Arial"/>
          <w:b/>
          <w:color w:val="993366"/>
          <w:sz w:val="24"/>
          <w:szCs w:val="24"/>
        </w:rPr>
      </w:pPr>
    </w:p>
    <w:p w14:paraId="4996D1FF" w14:textId="3B7E8357" w:rsidR="008727CB" w:rsidRPr="00CD4F28" w:rsidRDefault="008727CB" w:rsidP="00A73694">
      <w:pPr>
        <w:jc w:val="center"/>
        <w:rPr>
          <w:rFonts w:ascii="Arial" w:hAnsi="Arial" w:cs="Arial"/>
          <w:b/>
          <w:color w:val="993366"/>
          <w:sz w:val="24"/>
          <w:szCs w:val="24"/>
        </w:rPr>
      </w:pPr>
    </w:p>
    <w:p w14:paraId="66ED5DF4" w14:textId="43E00865" w:rsidR="008727CB" w:rsidRPr="00CD4F28" w:rsidRDefault="008727CB" w:rsidP="00A73694">
      <w:pPr>
        <w:jc w:val="center"/>
        <w:rPr>
          <w:rFonts w:ascii="Arial" w:hAnsi="Arial" w:cs="Arial"/>
          <w:b/>
          <w:color w:val="993366"/>
          <w:sz w:val="24"/>
          <w:szCs w:val="24"/>
        </w:rPr>
      </w:pPr>
    </w:p>
    <w:p w14:paraId="5E1B3396" w14:textId="66362A8E" w:rsidR="008727CB" w:rsidRPr="00CD4F28" w:rsidRDefault="008727CB" w:rsidP="00A73694">
      <w:pPr>
        <w:jc w:val="center"/>
        <w:rPr>
          <w:rFonts w:ascii="Arial" w:hAnsi="Arial" w:cs="Arial"/>
          <w:b/>
          <w:color w:val="993366"/>
          <w:sz w:val="24"/>
          <w:szCs w:val="24"/>
        </w:rPr>
      </w:pPr>
    </w:p>
    <w:p w14:paraId="0136CC86" w14:textId="4AFCE1F7" w:rsidR="008727CB" w:rsidRPr="00CD4F28" w:rsidRDefault="008727CB" w:rsidP="00A73694">
      <w:pPr>
        <w:jc w:val="center"/>
        <w:rPr>
          <w:rFonts w:ascii="Arial" w:hAnsi="Arial" w:cs="Arial"/>
          <w:b/>
          <w:color w:val="993366"/>
          <w:sz w:val="24"/>
          <w:szCs w:val="24"/>
        </w:rPr>
      </w:pPr>
    </w:p>
    <w:p w14:paraId="4D95CE40" w14:textId="6AF93D6B" w:rsidR="008727CB" w:rsidRPr="00CD4F28" w:rsidRDefault="008727CB" w:rsidP="00A73694">
      <w:pPr>
        <w:jc w:val="center"/>
        <w:rPr>
          <w:rFonts w:ascii="Arial" w:hAnsi="Arial" w:cs="Arial"/>
          <w:b/>
          <w:color w:val="993366"/>
          <w:sz w:val="24"/>
          <w:szCs w:val="24"/>
        </w:rPr>
      </w:pPr>
    </w:p>
    <w:p w14:paraId="47A75686" w14:textId="4AE9D8B7" w:rsidR="008727CB" w:rsidRPr="00BA35CD" w:rsidRDefault="008727CB" w:rsidP="00A73694">
      <w:pPr>
        <w:jc w:val="center"/>
        <w:rPr>
          <w:rFonts w:ascii="Arial" w:hAnsi="Arial" w:cs="Arial"/>
          <w:b/>
          <w:color w:val="004F9E"/>
          <w:sz w:val="56"/>
          <w:szCs w:val="24"/>
        </w:rPr>
      </w:pPr>
      <w:r w:rsidRPr="00BA35CD">
        <w:rPr>
          <w:rFonts w:ascii="Arial" w:hAnsi="Arial" w:cs="Arial"/>
          <w:b/>
          <w:color w:val="FFFFFF" w:themeColor="background1"/>
          <w:sz w:val="56"/>
          <w:szCs w:val="24"/>
        </w:rPr>
        <w:t>WORK PRO</w:t>
      </w:r>
      <w:r w:rsidRPr="00BA35CD">
        <w:rPr>
          <w:rFonts w:ascii="Arial" w:hAnsi="Arial" w:cs="Arial"/>
          <w:b/>
          <w:color w:val="004F9E"/>
          <w:sz w:val="56"/>
          <w:szCs w:val="24"/>
        </w:rPr>
        <w:t>GRAMME 20</w:t>
      </w:r>
      <w:r w:rsidR="005446A0" w:rsidRPr="00BA35CD">
        <w:rPr>
          <w:rFonts w:ascii="Arial" w:hAnsi="Arial" w:cs="Arial"/>
          <w:b/>
          <w:color w:val="004F9E"/>
          <w:sz w:val="56"/>
          <w:szCs w:val="24"/>
        </w:rPr>
        <w:t>20</w:t>
      </w:r>
    </w:p>
    <w:p w14:paraId="414C58CB" w14:textId="25D2E549" w:rsidR="00CE2586" w:rsidRPr="00BA35CD" w:rsidRDefault="00CE2586" w:rsidP="00A73694">
      <w:pPr>
        <w:adjustRightInd w:val="0"/>
        <w:jc w:val="both"/>
        <w:rPr>
          <w:rFonts w:ascii="Arial" w:hAnsi="Arial" w:cs="Arial"/>
          <w:noProof/>
          <w:sz w:val="28"/>
          <w:szCs w:val="24"/>
        </w:rPr>
      </w:pPr>
    </w:p>
    <w:p w14:paraId="26B2F691" w14:textId="5DB90ED4" w:rsidR="008727CB" w:rsidRPr="00CD4F28" w:rsidRDefault="008727CB" w:rsidP="00A73694">
      <w:pPr>
        <w:adjustRightInd w:val="0"/>
        <w:jc w:val="both"/>
        <w:rPr>
          <w:rFonts w:ascii="Arial" w:hAnsi="Arial" w:cs="Arial"/>
          <w:noProof/>
          <w:sz w:val="24"/>
          <w:szCs w:val="24"/>
        </w:rPr>
      </w:pPr>
    </w:p>
    <w:p w14:paraId="1F7AC9D7" w14:textId="769F47D6" w:rsidR="008727CB" w:rsidRPr="00CD4F28" w:rsidRDefault="008727CB" w:rsidP="00A73694">
      <w:pPr>
        <w:adjustRightInd w:val="0"/>
        <w:jc w:val="both"/>
        <w:rPr>
          <w:rFonts w:ascii="Arial" w:hAnsi="Arial" w:cs="Arial"/>
          <w:noProof/>
          <w:sz w:val="24"/>
          <w:szCs w:val="24"/>
        </w:rPr>
      </w:pPr>
    </w:p>
    <w:p w14:paraId="5793CA70" w14:textId="7676634B" w:rsidR="008727CB" w:rsidRPr="00CD4F28" w:rsidRDefault="008727CB" w:rsidP="00A73694">
      <w:pPr>
        <w:adjustRightInd w:val="0"/>
        <w:jc w:val="both"/>
        <w:rPr>
          <w:rFonts w:ascii="Arial" w:hAnsi="Arial" w:cs="Arial"/>
          <w:noProof/>
          <w:sz w:val="24"/>
          <w:szCs w:val="24"/>
        </w:rPr>
      </w:pPr>
    </w:p>
    <w:p w14:paraId="36CC296F" w14:textId="74E325D0" w:rsidR="008727CB" w:rsidRPr="00CD4F28" w:rsidRDefault="008727CB" w:rsidP="00A73694">
      <w:pPr>
        <w:adjustRightInd w:val="0"/>
        <w:jc w:val="both"/>
        <w:rPr>
          <w:rFonts w:ascii="Arial" w:hAnsi="Arial" w:cs="Arial"/>
          <w:noProof/>
          <w:sz w:val="24"/>
          <w:szCs w:val="24"/>
        </w:rPr>
      </w:pPr>
    </w:p>
    <w:p w14:paraId="492EA53B" w14:textId="3A967A32" w:rsidR="008727CB" w:rsidRPr="00CD4F28" w:rsidRDefault="008727CB" w:rsidP="00A73694">
      <w:pPr>
        <w:adjustRightInd w:val="0"/>
        <w:jc w:val="both"/>
        <w:rPr>
          <w:rFonts w:ascii="Arial" w:hAnsi="Arial" w:cs="Arial"/>
          <w:noProof/>
          <w:sz w:val="24"/>
          <w:szCs w:val="24"/>
        </w:rPr>
      </w:pPr>
    </w:p>
    <w:p w14:paraId="39DAA3C9" w14:textId="4E554B91" w:rsidR="008727CB" w:rsidRPr="00CD4F28" w:rsidRDefault="008727CB" w:rsidP="00A73694">
      <w:pPr>
        <w:adjustRightInd w:val="0"/>
        <w:jc w:val="both"/>
        <w:rPr>
          <w:rFonts w:ascii="Arial" w:hAnsi="Arial" w:cs="Arial"/>
          <w:noProof/>
          <w:sz w:val="24"/>
          <w:szCs w:val="24"/>
        </w:rPr>
      </w:pPr>
    </w:p>
    <w:p w14:paraId="3940E2A7" w14:textId="0B6A2AE7" w:rsidR="008727CB" w:rsidRPr="00CD4F28" w:rsidRDefault="008727CB" w:rsidP="00A73694">
      <w:pPr>
        <w:adjustRightInd w:val="0"/>
        <w:jc w:val="both"/>
        <w:rPr>
          <w:rFonts w:ascii="Arial" w:hAnsi="Arial" w:cs="Arial"/>
          <w:noProof/>
          <w:sz w:val="24"/>
          <w:szCs w:val="24"/>
        </w:rPr>
      </w:pPr>
    </w:p>
    <w:p w14:paraId="02FC91D3" w14:textId="5FDF3B49" w:rsidR="008727CB" w:rsidRPr="00CD4F28" w:rsidRDefault="008727CB" w:rsidP="00A73694">
      <w:pPr>
        <w:adjustRightInd w:val="0"/>
        <w:jc w:val="both"/>
        <w:rPr>
          <w:rFonts w:ascii="Arial" w:hAnsi="Arial" w:cs="Arial"/>
          <w:noProof/>
          <w:sz w:val="24"/>
          <w:szCs w:val="24"/>
        </w:rPr>
      </w:pPr>
    </w:p>
    <w:p w14:paraId="11F252C3" w14:textId="5DCFDF38" w:rsidR="008727CB" w:rsidRPr="00CD4F28" w:rsidRDefault="008727CB" w:rsidP="00A73694">
      <w:pPr>
        <w:adjustRightInd w:val="0"/>
        <w:jc w:val="both"/>
        <w:rPr>
          <w:rFonts w:ascii="Arial" w:hAnsi="Arial" w:cs="Arial"/>
          <w:noProof/>
          <w:sz w:val="24"/>
          <w:szCs w:val="24"/>
        </w:rPr>
      </w:pPr>
    </w:p>
    <w:p w14:paraId="0AB34B3A" w14:textId="194595A2" w:rsidR="008727CB" w:rsidRPr="00CD4F28" w:rsidRDefault="008727CB" w:rsidP="00A73694">
      <w:pPr>
        <w:adjustRightInd w:val="0"/>
        <w:jc w:val="both"/>
        <w:rPr>
          <w:rFonts w:ascii="Arial" w:hAnsi="Arial" w:cs="Arial"/>
          <w:noProof/>
          <w:sz w:val="24"/>
          <w:szCs w:val="24"/>
        </w:rPr>
      </w:pPr>
    </w:p>
    <w:p w14:paraId="1D8A2632" w14:textId="1018CE41" w:rsidR="008727CB" w:rsidRPr="00CD4F28" w:rsidRDefault="008727CB" w:rsidP="00A73694">
      <w:pPr>
        <w:adjustRightInd w:val="0"/>
        <w:jc w:val="both"/>
        <w:rPr>
          <w:rFonts w:ascii="Arial" w:hAnsi="Arial" w:cs="Arial"/>
          <w:noProof/>
          <w:sz w:val="24"/>
          <w:szCs w:val="24"/>
        </w:rPr>
      </w:pPr>
    </w:p>
    <w:p w14:paraId="22AD4AC3" w14:textId="5141822B" w:rsidR="008727CB" w:rsidRPr="00CD4F28" w:rsidRDefault="008727CB" w:rsidP="00A73694">
      <w:pPr>
        <w:adjustRightInd w:val="0"/>
        <w:jc w:val="both"/>
        <w:rPr>
          <w:rFonts w:ascii="Arial" w:hAnsi="Arial" w:cs="Arial"/>
          <w:noProof/>
          <w:sz w:val="24"/>
          <w:szCs w:val="24"/>
        </w:rPr>
      </w:pPr>
    </w:p>
    <w:p w14:paraId="592B9977" w14:textId="7DCF0D82" w:rsidR="008727CB" w:rsidRPr="00CD4F28" w:rsidRDefault="008727CB" w:rsidP="00A73694">
      <w:pPr>
        <w:adjustRightInd w:val="0"/>
        <w:jc w:val="both"/>
        <w:rPr>
          <w:rFonts w:ascii="Arial" w:hAnsi="Arial" w:cs="Arial"/>
          <w:noProof/>
          <w:sz w:val="24"/>
          <w:szCs w:val="24"/>
        </w:rPr>
      </w:pPr>
    </w:p>
    <w:p w14:paraId="0B4641FF" w14:textId="47551A57" w:rsidR="008727CB" w:rsidRPr="00CD4F28" w:rsidRDefault="008727CB" w:rsidP="00A73694">
      <w:pPr>
        <w:adjustRightInd w:val="0"/>
        <w:jc w:val="both"/>
        <w:rPr>
          <w:rFonts w:ascii="Arial" w:hAnsi="Arial" w:cs="Arial"/>
          <w:noProof/>
          <w:sz w:val="24"/>
          <w:szCs w:val="24"/>
        </w:rPr>
      </w:pPr>
    </w:p>
    <w:p w14:paraId="26E069AE" w14:textId="274763B2" w:rsidR="008727CB" w:rsidRPr="00CD4F28" w:rsidRDefault="008727CB" w:rsidP="00A73694">
      <w:pPr>
        <w:adjustRightInd w:val="0"/>
        <w:jc w:val="both"/>
        <w:rPr>
          <w:rFonts w:ascii="Arial" w:hAnsi="Arial" w:cs="Arial"/>
          <w:noProof/>
          <w:sz w:val="24"/>
          <w:szCs w:val="24"/>
        </w:rPr>
      </w:pPr>
    </w:p>
    <w:p w14:paraId="78C86F1D" w14:textId="1F5E8CA6" w:rsidR="008727CB" w:rsidRPr="00CD4F28" w:rsidRDefault="008727CB" w:rsidP="00A73694">
      <w:pPr>
        <w:adjustRightInd w:val="0"/>
        <w:jc w:val="both"/>
        <w:rPr>
          <w:rFonts w:ascii="Arial" w:hAnsi="Arial" w:cs="Arial"/>
          <w:noProof/>
          <w:sz w:val="24"/>
          <w:szCs w:val="24"/>
        </w:rPr>
      </w:pPr>
    </w:p>
    <w:p w14:paraId="094687E9" w14:textId="68E4644E" w:rsidR="008727CB" w:rsidRPr="00CD4F28" w:rsidRDefault="008727CB" w:rsidP="00A73694">
      <w:pPr>
        <w:adjustRightInd w:val="0"/>
        <w:jc w:val="both"/>
        <w:rPr>
          <w:rFonts w:ascii="Arial" w:hAnsi="Arial" w:cs="Arial"/>
          <w:noProof/>
          <w:sz w:val="24"/>
          <w:szCs w:val="24"/>
        </w:rPr>
      </w:pPr>
    </w:p>
    <w:p w14:paraId="1CE8F6E7" w14:textId="5DB54368" w:rsidR="008727CB" w:rsidRPr="00CD4F28" w:rsidRDefault="008727CB" w:rsidP="00A73694">
      <w:pPr>
        <w:adjustRightInd w:val="0"/>
        <w:jc w:val="both"/>
        <w:rPr>
          <w:rFonts w:ascii="Arial" w:hAnsi="Arial" w:cs="Arial"/>
          <w:noProof/>
          <w:sz w:val="24"/>
          <w:szCs w:val="24"/>
        </w:rPr>
      </w:pPr>
    </w:p>
    <w:p w14:paraId="0DE7E771" w14:textId="072D678A" w:rsidR="008727CB" w:rsidRPr="00CD4F28" w:rsidRDefault="008727CB" w:rsidP="00A73694">
      <w:pPr>
        <w:adjustRightInd w:val="0"/>
        <w:jc w:val="both"/>
        <w:rPr>
          <w:rFonts w:ascii="Arial" w:hAnsi="Arial" w:cs="Arial"/>
          <w:noProof/>
          <w:sz w:val="24"/>
          <w:szCs w:val="24"/>
        </w:rPr>
      </w:pPr>
    </w:p>
    <w:p w14:paraId="73E9C0EB" w14:textId="11D64329" w:rsidR="008727CB" w:rsidRPr="00CD4F28" w:rsidRDefault="008727CB" w:rsidP="00A73694">
      <w:pPr>
        <w:adjustRightInd w:val="0"/>
        <w:jc w:val="both"/>
        <w:rPr>
          <w:rFonts w:ascii="Arial" w:hAnsi="Arial" w:cs="Arial"/>
          <w:noProof/>
          <w:sz w:val="24"/>
          <w:szCs w:val="24"/>
        </w:rPr>
      </w:pPr>
    </w:p>
    <w:p w14:paraId="63DB2E65" w14:textId="57342F56" w:rsidR="008727CB" w:rsidRPr="00CD4F28" w:rsidRDefault="008727CB" w:rsidP="00A73694">
      <w:pPr>
        <w:adjustRightInd w:val="0"/>
        <w:jc w:val="both"/>
        <w:rPr>
          <w:rFonts w:ascii="Arial" w:hAnsi="Arial" w:cs="Arial"/>
          <w:noProof/>
          <w:sz w:val="24"/>
          <w:szCs w:val="24"/>
        </w:rPr>
      </w:pPr>
    </w:p>
    <w:p w14:paraId="0808E91C" w14:textId="0D7B23FC" w:rsidR="008727CB" w:rsidRPr="00CD4F28" w:rsidRDefault="008727CB" w:rsidP="00A73694">
      <w:pPr>
        <w:adjustRightInd w:val="0"/>
        <w:jc w:val="both"/>
        <w:rPr>
          <w:rFonts w:ascii="Arial" w:hAnsi="Arial" w:cs="Arial"/>
          <w:noProof/>
          <w:sz w:val="24"/>
          <w:szCs w:val="24"/>
        </w:rPr>
      </w:pPr>
    </w:p>
    <w:p w14:paraId="48202375" w14:textId="276B7C42" w:rsidR="008727CB" w:rsidRPr="00CD4F28" w:rsidRDefault="008727CB" w:rsidP="00A73694">
      <w:pPr>
        <w:adjustRightInd w:val="0"/>
        <w:jc w:val="both"/>
        <w:rPr>
          <w:rFonts w:ascii="Arial" w:hAnsi="Arial" w:cs="Arial"/>
          <w:noProof/>
          <w:sz w:val="24"/>
          <w:szCs w:val="24"/>
        </w:rPr>
      </w:pPr>
    </w:p>
    <w:p w14:paraId="618ABB21" w14:textId="0699A9EB" w:rsidR="008727CB" w:rsidRPr="00CD4F28" w:rsidRDefault="008727CB" w:rsidP="00A73694">
      <w:pPr>
        <w:adjustRightInd w:val="0"/>
        <w:jc w:val="both"/>
        <w:rPr>
          <w:rFonts w:ascii="Arial" w:hAnsi="Arial" w:cs="Arial"/>
          <w:noProof/>
          <w:sz w:val="24"/>
          <w:szCs w:val="24"/>
        </w:rPr>
      </w:pPr>
    </w:p>
    <w:p w14:paraId="501852D8" w14:textId="05FEBCD2" w:rsidR="008727CB" w:rsidRPr="00CD4F28" w:rsidRDefault="008727CB" w:rsidP="00A73694">
      <w:pPr>
        <w:adjustRightInd w:val="0"/>
        <w:jc w:val="both"/>
        <w:rPr>
          <w:rFonts w:ascii="Arial" w:hAnsi="Arial" w:cs="Arial"/>
          <w:noProof/>
          <w:sz w:val="24"/>
          <w:szCs w:val="24"/>
        </w:rPr>
      </w:pPr>
    </w:p>
    <w:p w14:paraId="418ADB6A" w14:textId="77777777" w:rsidR="00BA35CD" w:rsidRDefault="00BA35CD" w:rsidP="00A73694">
      <w:pPr>
        <w:adjustRightInd w:val="0"/>
        <w:jc w:val="center"/>
        <w:rPr>
          <w:rFonts w:ascii="Arial" w:hAnsi="Arial" w:cs="Arial"/>
          <w:b/>
          <w:noProof/>
          <w:color w:val="FFFFFF" w:themeColor="background1"/>
          <w:sz w:val="24"/>
          <w:szCs w:val="24"/>
        </w:rPr>
      </w:pPr>
    </w:p>
    <w:p w14:paraId="555A0C01" w14:textId="77777777" w:rsidR="00BA35CD" w:rsidRDefault="00BA35CD" w:rsidP="00A73694">
      <w:pPr>
        <w:adjustRightInd w:val="0"/>
        <w:jc w:val="center"/>
        <w:rPr>
          <w:rFonts w:ascii="Arial" w:hAnsi="Arial" w:cs="Arial"/>
          <w:b/>
          <w:noProof/>
          <w:color w:val="FFFFFF" w:themeColor="background1"/>
          <w:sz w:val="24"/>
          <w:szCs w:val="24"/>
        </w:rPr>
      </w:pPr>
    </w:p>
    <w:p w14:paraId="4BABE7C7" w14:textId="77777777" w:rsidR="00BA35CD" w:rsidRDefault="00BA35CD" w:rsidP="00A73694">
      <w:pPr>
        <w:adjustRightInd w:val="0"/>
        <w:jc w:val="center"/>
        <w:rPr>
          <w:rFonts w:ascii="Arial" w:hAnsi="Arial" w:cs="Arial"/>
          <w:b/>
          <w:noProof/>
          <w:color w:val="FFFFFF" w:themeColor="background1"/>
          <w:sz w:val="24"/>
          <w:szCs w:val="24"/>
        </w:rPr>
      </w:pPr>
    </w:p>
    <w:p w14:paraId="4066B8B3" w14:textId="4989EF3E" w:rsidR="00A73B46" w:rsidRPr="00CD4F28" w:rsidRDefault="008727CB" w:rsidP="00A73694">
      <w:pPr>
        <w:adjustRightInd w:val="0"/>
        <w:jc w:val="center"/>
        <w:rPr>
          <w:rFonts w:ascii="Arial" w:hAnsi="Arial" w:cs="Arial"/>
          <w:color w:val="FFFFFF" w:themeColor="background1"/>
          <w:sz w:val="24"/>
          <w:szCs w:val="24"/>
          <w:lang w:val="en-IE"/>
        </w:rPr>
      </w:pPr>
      <w:r w:rsidRPr="00CD4F28">
        <w:rPr>
          <w:rFonts w:ascii="Arial" w:hAnsi="Arial" w:cs="Arial"/>
          <w:b/>
          <w:noProof/>
          <w:color w:val="FFFFFF" w:themeColor="background1"/>
          <w:sz w:val="24"/>
          <w:szCs w:val="24"/>
        </w:rPr>
        <w:t>DECEMBER 2019</w:t>
      </w:r>
      <w:r w:rsidRPr="00CD4F28">
        <w:rPr>
          <w:rFonts w:ascii="Arial" w:hAnsi="Arial" w:cs="Arial"/>
          <w:noProof/>
          <w:color w:val="FFFFFF" w:themeColor="background1"/>
          <w:sz w:val="24"/>
          <w:szCs w:val="24"/>
          <w:lang w:bidi="ar-SA"/>
        </w:rPr>
        <w:drawing>
          <wp:anchor distT="0" distB="0" distL="114300" distR="114300" simplePos="0" relativeHeight="251657728" behindDoc="0" locked="0" layoutInCell="1" allowOverlap="1" wp14:anchorId="573E476C" wp14:editId="7936F358">
            <wp:simplePos x="0" y="0"/>
            <wp:positionH relativeFrom="margin">
              <wp:align>center</wp:align>
            </wp:positionH>
            <wp:positionV relativeFrom="margin">
              <wp:align>top</wp:align>
            </wp:positionV>
            <wp:extent cx="1828800" cy="675640"/>
            <wp:effectExtent l="0" t="0" r="0" b="0"/>
            <wp:wrapSquare wrapText="bothSides"/>
            <wp:docPr id="11" name="Picture 11" descr="Headletter_E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letter_EL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anchor>
        </w:drawing>
      </w:r>
      <w:r w:rsidR="00A73B46" w:rsidRPr="00CD4F28">
        <w:rPr>
          <w:rFonts w:ascii="Arial" w:hAnsi="Arial" w:cs="Arial"/>
          <w:color w:val="FFFFFF" w:themeColor="background1"/>
          <w:sz w:val="24"/>
          <w:szCs w:val="24"/>
          <w:lang w:val="en-IE"/>
        </w:rPr>
        <w:br w:type="page"/>
      </w:r>
    </w:p>
    <w:p w14:paraId="796A3DFB" w14:textId="77777777" w:rsidR="008F16FE" w:rsidRPr="00CD4F28" w:rsidRDefault="008F16FE" w:rsidP="00A73694">
      <w:pPr>
        <w:pStyle w:val="BodyText"/>
        <w:tabs>
          <w:tab w:val="left" w:pos="0"/>
        </w:tabs>
        <w:rPr>
          <w:rFonts w:ascii="Arial" w:hAnsi="Arial" w:cs="Arial"/>
          <w:sz w:val="24"/>
          <w:szCs w:val="24"/>
          <w:lang w:val="en-IE"/>
        </w:rPr>
      </w:pPr>
    </w:p>
    <w:p w14:paraId="6C730FF8" w14:textId="77777777" w:rsidR="00B45958" w:rsidRPr="00CD4F28" w:rsidRDefault="00B45958" w:rsidP="00A73694">
      <w:pPr>
        <w:rPr>
          <w:rFonts w:ascii="Arial" w:hAnsi="Arial" w:cs="Arial"/>
          <w:sz w:val="24"/>
          <w:szCs w:val="24"/>
          <w:lang w:val="en-IE"/>
        </w:rPr>
      </w:pPr>
    </w:p>
    <w:p w14:paraId="7B10774C" w14:textId="75433356"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0E60699A" w14:textId="78C2ACE0"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5F6F0269" w14:textId="4F4B5238"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179E069D" w14:textId="5514071A"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7C614D94" w14:textId="130CBDF8"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6AE09747" w14:textId="54F81EFB"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1897EA9F" w14:textId="55906D5A"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20BFF2C2" w14:textId="67CD31C4"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45FB0884" w14:textId="6470D251"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57414B4F" w14:textId="0674E397"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4D4BD8F8" w14:textId="1CBC9168"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73F03473" w14:textId="41EC0484" w:rsidR="00B45958" w:rsidRPr="00CD4F28" w:rsidRDefault="00B45958" w:rsidP="00A73694">
      <w:pPr>
        <w:widowControl/>
        <w:adjustRightInd w:val="0"/>
        <w:spacing w:before="480" w:after="240"/>
        <w:rPr>
          <w:rFonts w:ascii="Arial" w:eastAsiaTheme="minorHAnsi" w:hAnsi="Arial" w:cs="Arial"/>
          <w:color w:val="000000"/>
          <w:sz w:val="24"/>
          <w:szCs w:val="24"/>
          <w:lang w:bidi="ar-SA"/>
        </w:rPr>
      </w:pPr>
    </w:p>
    <w:p w14:paraId="16760696" w14:textId="3407AE91" w:rsidR="00CE3FB8" w:rsidRPr="00CD4F28" w:rsidRDefault="00CE3FB8" w:rsidP="00A73694">
      <w:pPr>
        <w:widowControl/>
        <w:adjustRightInd w:val="0"/>
        <w:spacing w:before="480" w:after="240"/>
        <w:rPr>
          <w:rFonts w:ascii="Arial" w:eastAsiaTheme="minorHAnsi" w:hAnsi="Arial" w:cs="Arial"/>
          <w:color w:val="000000"/>
          <w:sz w:val="24"/>
          <w:szCs w:val="24"/>
          <w:lang w:bidi="ar-SA"/>
        </w:rPr>
      </w:pPr>
    </w:p>
    <w:p w14:paraId="640D8B2A" w14:textId="77777777" w:rsidR="00CE3FB8" w:rsidRPr="00CD4F28" w:rsidRDefault="00CE3FB8" w:rsidP="00A73694">
      <w:pPr>
        <w:widowControl/>
        <w:adjustRightInd w:val="0"/>
        <w:spacing w:before="480" w:after="240"/>
        <w:rPr>
          <w:rFonts w:ascii="Arial" w:eastAsiaTheme="minorHAnsi" w:hAnsi="Arial" w:cs="Arial"/>
          <w:color w:val="000000"/>
          <w:sz w:val="24"/>
          <w:szCs w:val="24"/>
          <w:lang w:bidi="ar-SA"/>
        </w:rPr>
      </w:pPr>
    </w:p>
    <w:p w14:paraId="41BD91D9" w14:textId="2ADB7233" w:rsidR="00B45958" w:rsidRPr="00CD4F28" w:rsidRDefault="00B45958" w:rsidP="00A73694">
      <w:pPr>
        <w:widowControl/>
        <w:adjustRightInd w:val="0"/>
        <w:spacing w:after="240"/>
        <w:rPr>
          <w:rFonts w:ascii="Arial" w:eastAsiaTheme="minorHAnsi" w:hAnsi="Arial" w:cs="Arial"/>
          <w:color w:val="993366"/>
          <w:sz w:val="24"/>
          <w:szCs w:val="24"/>
          <w:lang w:bidi="ar-SA"/>
        </w:rPr>
      </w:pPr>
      <w:r w:rsidRPr="00CD4F28">
        <w:rPr>
          <w:rFonts w:ascii="Arial" w:eastAsiaTheme="minorHAnsi" w:hAnsi="Arial" w:cs="Arial"/>
          <w:b/>
          <w:bCs/>
          <w:color w:val="993366"/>
          <w:sz w:val="24"/>
          <w:szCs w:val="24"/>
          <w:lang w:bidi="ar-SA"/>
        </w:rPr>
        <w:t xml:space="preserve">Work Programme </w:t>
      </w:r>
      <w:r w:rsidR="00200AF0" w:rsidRPr="00CD4F28">
        <w:rPr>
          <w:rFonts w:ascii="Arial" w:eastAsiaTheme="minorHAnsi" w:hAnsi="Arial" w:cs="Arial"/>
          <w:b/>
          <w:bCs/>
          <w:color w:val="993366"/>
          <w:sz w:val="24"/>
          <w:szCs w:val="24"/>
          <w:lang w:bidi="ar-SA"/>
        </w:rPr>
        <w:t xml:space="preserve">of the European Labour Authority </w:t>
      </w:r>
      <w:r w:rsidRPr="00CD4F28">
        <w:rPr>
          <w:rFonts w:ascii="Arial" w:eastAsiaTheme="minorHAnsi" w:hAnsi="Arial" w:cs="Arial"/>
          <w:b/>
          <w:bCs/>
          <w:color w:val="993366"/>
          <w:sz w:val="24"/>
          <w:szCs w:val="24"/>
          <w:lang w:bidi="ar-SA"/>
        </w:rPr>
        <w:t xml:space="preserve">2020 </w:t>
      </w:r>
    </w:p>
    <w:p w14:paraId="209119C3" w14:textId="7570134C" w:rsidR="00B45958" w:rsidRPr="00CD4F28" w:rsidRDefault="00B45958" w:rsidP="00A73694">
      <w:pPr>
        <w:widowControl/>
        <w:adjustRightInd w:val="0"/>
        <w:spacing w:before="120" w:after="120"/>
        <w:rPr>
          <w:rFonts w:ascii="Arial" w:eastAsiaTheme="minorHAnsi" w:hAnsi="Arial" w:cs="Arial"/>
          <w:color w:val="000000"/>
          <w:sz w:val="24"/>
          <w:szCs w:val="24"/>
          <w:lang w:val="en-GB" w:bidi="ar-SA"/>
        </w:rPr>
      </w:pPr>
      <w:r w:rsidRPr="00CD4F28">
        <w:rPr>
          <w:rFonts w:ascii="Arial" w:eastAsiaTheme="minorHAnsi" w:hAnsi="Arial" w:cs="Arial"/>
          <w:color w:val="000000"/>
          <w:sz w:val="24"/>
          <w:szCs w:val="24"/>
          <w:lang w:val="en-GB" w:bidi="ar-SA"/>
        </w:rPr>
        <w:t xml:space="preserve">Bratislava, 3 December 2019 </w:t>
      </w:r>
    </w:p>
    <w:p w14:paraId="7995FED7" w14:textId="1ADE20E3" w:rsidR="00B45958" w:rsidRPr="00CD4F28" w:rsidRDefault="00B45958" w:rsidP="00A73694">
      <w:pPr>
        <w:widowControl/>
        <w:adjustRightInd w:val="0"/>
        <w:spacing w:after="240"/>
        <w:rPr>
          <w:rFonts w:ascii="Arial" w:eastAsiaTheme="minorHAnsi" w:hAnsi="Arial" w:cs="Arial"/>
          <w:color w:val="000000"/>
          <w:sz w:val="24"/>
          <w:szCs w:val="24"/>
          <w:lang w:val="en-GB" w:bidi="ar-SA"/>
        </w:rPr>
      </w:pPr>
      <w:r w:rsidRPr="00CD4F28">
        <w:rPr>
          <w:rFonts w:ascii="Arial" w:eastAsiaTheme="minorHAnsi" w:hAnsi="Arial" w:cs="Arial"/>
          <w:color w:val="000000"/>
          <w:sz w:val="24"/>
          <w:szCs w:val="24"/>
          <w:lang w:val="en-GB" w:bidi="ar-SA"/>
        </w:rPr>
        <w:t xml:space="preserve">Doc: </w:t>
      </w:r>
      <w:r w:rsidR="000C69A5" w:rsidRPr="00CD4F28">
        <w:rPr>
          <w:rFonts w:ascii="Arial" w:eastAsiaTheme="minorHAnsi" w:hAnsi="Arial" w:cs="Arial"/>
          <w:color w:val="000000"/>
          <w:sz w:val="24"/>
          <w:szCs w:val="24"/>
          <w:lang w:val="en-GB" w:bidi="ar-SA"/>
        </w:rPr>
        <w:t xml:space="preserve">Decision No </w:t>
      </w:r>
      <w:r w:rsidR="00FF167A" w:rsidRPr="00CD4F28">
        <w:rPr>
          <w:rFonts w:ascii="Arial" w:eastAsiaTheme="minorHAnsi" w:hAnsi="Arial" w:cs="Arial"/>
          <w:color w:val="000000"/>
          <w:sz w:val="24"/>
          <w:szCs w:val="24"/>
          <w:lang w:val="en-GB" w:bidi="ar-SA"/>
        </w:rPr>
        <w:t>6</w:t>
      </w:r>
      <w:r w:rsidR="000C69A5" w:rsidRPr="00CD4F28">
        <w:rPr>
          <w:rFonts w:ascii="Arial" w:eastAsiaTheme="minorHAnsi" w:hAnsi="Arial" w:cs="Arial"/>
          <w:color w:val="000000"/>
          <w:sz w:val="24"/>
          <w:szCs w:val="24"/>
          <w:lang w:val="en-GB" w:bidi="ar-SA"/>
        </w:rPr>
        <w:t>/2019 of 3 December 2019 of the Management Board</w:t>
      </w:r>
    </w:p>
    <w:p w14:paraId="584024A7" w14:textId="7850339F" w:rsidR="00CD4F28" w:rsidRDefault="00B45958" w:rsidP="00A73694">
      <w:pPr>
        <w:widowControl/>
        <w:adjustRightInd w:val="0"/>
        <w:spacing w:after="240"/>
        <w:rPr>
          <w:rFonts w:ascii="Arial" w:eastAsiaTheme="minorHAnsi" w:hAnsi="Arial" w:cs="Arial"/>
          <w:color w:val="000000"/>
          <w:sz w:val="24"/>
          <w:szCs w:val="24"/>
          <w:lang w:bidi="ar-SA"/>
        </w:rPr>
      </w:pPr>
      <w:r w:rsidRPr="00CD4F28">
        <w:rPr>
          <w:rFonts w:ascii="Arial" w:eastAsiaTheme="minorHAnsi" w:hAnsi="Arial" w:cs="Arial"/>
          <w:color w:val="000000"/>
          <w:sz w:val="24"/>
          <w:szCs w:val="24"/>
          <w:lang w:bidi="ar-SA"/>
        </w:rPr>
        <w:t xml:space="preserve">If you have questions or comments in relation to this document please send them (quote the reference) to </w:t>
      </w:r>
      <w:hyperlink r:id="rId11" w:history="1">
        <w:r w:rsidRPr="00CD4F28">
          <w:rPr>
            <w:rStyle w:val="Hyperlink"/>
            <w:rFonts w:ascii="Arial" w:eastAsiaTheme="minorHAnsi" w:hAnsi="Arial" w:cs="Arial"/>
            <w:sz w:val="24"/>
            <w:szCs w:val="24"/>
            <w:lang w:bidi="ar-SA"/>
          </w:rPr>
          <w:t>EMPL-ELA-INFO@ec.europa.eu</w:t>
        </w:r>
      </w:hyperlink>
      <w:r w:rsidRPr="00CD4F28">
        <w:rPr>
          <w:rFonts w:ascii="Arial" w:eastAsiaTheme="minorHAnsi" w:hAnsi="Arial" w:cs="Arial"/>
          <w:color w:val="000000"/>
          <w:sz w:val="24"/>
          <w:szCs w:val="24"/>
          <w:lang w:bidi="ar-SA"/>
        </w:rPr>
        <w:t xml:space="preserve"> </w:t>
      </w:r>
    </w:p>
    <w:p w14:paraId="37D94BFB" w14:textId="77777777" w:rsidR="00CD4F28" w:rsidRDefault="00CD4F28">
      <w:pPr>
        <w:rPr>
          <w:rFonts w:ascii="Arial" w:eastAsiaTheme="minorHAnsi" w:hAnsi="Arial" w:cs="Arial"/>
          <w:color w:val="000000"/>
          <w:sz w:val="24"/>
          <w:szCs w:val="24"/>
          <w:lang w:bidi="ar-SA"/>
        </w:rPr>
      </w:pPr>
      <w:r>
        <w:rPr>
          <w:rFonts w:ascii="Arial" w:eastAsiaTheme="minorHAnsi" w:hAnsi="Arial" w:cs="Arial"/>
          <w:color w:val="000000"/>
          <w:sz w:val="24"/>
          <w:szCs w:val="24"/>
          <w:lang w:bidi="ar-SA"/>
        </w:rPr>
        <w:br w:type="page"/>
      </w:r>
    </w:p>
    <w:p w14:paraId="7AB7CD69" w14:textId="77777777" w:rsidR="00B45958" w:rsidRPr="00CD4F28" w:rsidRDefault="00B45958" w:rsidP="00A73694">
      <w:pPr>
        <w:widowControl/>
        <w:adjustRightInd w:val="0"/>
        <w:spacing w:after="240"/>
        <w:rPr>
          <w:rFonts w:ascii="Arial" w:eastAsiaTheme="minorHAnsi" w:hAnsi="Arial" w:cs="Arial"/>
          <w:color w:val="000000"/>
          <w:sz w:val="24"/>
          <w:szCs w:val="24"/>
          <w:lang w:bidi="ar-SA"/>
        </w:rPr>
      </w:pPr>
    </w:p>
    <w:sdt>
      <w:sdtPr>
        <w:rPr>
          <w:rFonts w:ascii="Myriad Pro" w:hAnsi="Myriad Pro" w:cs="Myriad Pro"/>
          <w:sz w:val="22"/>
          <w:szCs w:val="22"/>
        </w:rPr>
        <w:id w:val="-63107962"/>
        <w:docPartObj>
          <w:docPartGallery w:val="Table of Contents"/>
          <w:docPartUnique/>
        </w:docPartObj>
      </w:sdtPr>
      <w:sdtEndPr>
        <w:rPr>
          <w:b/>
          <w:bCs/>
          <w:noProof/>
          <w:sz w:val="24"/>
          <w:szCs w:val="24"/>
        </w:rPr>
      </w:sdtEndPr>
      <w:sdtContent>
        <w:p w14:paraId="6070B269" w14:textId="47284E86" w:rsidR="00DD09EB" w:rsidRPr="00CD4F28" w:rsidRDefault="00DD09EB" w:rsidP="00A73694">
          <w:pPr>
            <w:pStyle w:val="TOCHeading"/>
            <w:rPr>
              <w:b/>
              <w:color w:val="993366"/>
            </w:rPr>
          </w:pPr>
          <w:r w:rsidRPr="00CD4F28">
            <w:rPr>
              <w:b/>
              <w:color w:val="993366"/>
            </w:rPr>
            <w:t>Table of Con</w:t>
          </w:r>
          <w:bookmarkStart w:id="1" w:name="_GoBack"/>
          <w:bookmarkEnd w:id="1"/>
          <w:r w:rsidRPr="00CD4F28">
            <w:rPr>
              <w:b/>
              <w:color w:val="993366"/>
            </w:rPr>
            <w:t>tents</w:t>
          </w:r>
        </w:p>
        <w:p w14:paraId="2381E507" w14:textId="13B854C0" w:rsidR="00AB4D4A" w:rsidRDefault="00DD09EB">
          <w:pPr>
            <w:pStyle w:val="TOC1"/>
            <w:tabs>
              <w:tab w:val="right" w:leader="dot" w:pos="9348"/>
            </w:tabs>
            <w:rPr>
              <w:rFonts w:asciiTheme="minorHAnsi" w:eastAsiaTheme="minorEastAsia" w:hAnsiTheme="minorHAnsi" w:cstheme="minorBidi"/>
              <w:noProof/>
              <w:lang w:bidi="ar-SA"/>
            </w:rPr>
          </w:pPr>
          <w:r w:rsidRPr="00CD4F28">
            <w:rPr>
              <w:rFonts w:ascii="Arial" w:hAnsi="Arial" w:cs="Arial"/>
              <w:sz w:val="24"/>
              <w:szCs w:val="24"/>
            </w:rPr>
            <w:fldChar w:fldCharType="begin"/>
          </w:r>
          <w:r w:rsidRPr="00CD4F28">
            <w:rPr>
              <w:rFonts w:ascii="Arial" w:hAnsi="Arial" w:cs="Arial"/>
              <w:sz w:val="24"/>
              <w:szCs w:val="24"/>
            </w:rPr>
            <w:instrText xml:space="preserve"> TOC \o "1-3" \h \z \u </w:instrText>
          </w:r>
          <w:r w:rsidRPr="00CD4F28">
            <w:rPr>
              <w:rFonts w:ascii="Arial" w:hAnsi="Arial" w:cs="Arial"/>
              <w:sz w:val="24"/>
              <w:szCs w:val="24"/>
            </w:rPr>
            <w:fldChar w:fldCharType="separate"/>
          </w:r>
          <w:hyperlink w:anchor="_Toc40092186" w:history="1">
            <w:r w:rsidR="00AB4D4A" w:rsidRPr="00A036C7">
              <w:rPr>
                <w:rStyle w:val="Hyperlink"/>
                <w:noProof/>
              </w:rPr>
              <w:t>Introduction</w:t>
            </w:r>
            <w:r w:rsidR="00AB4D4A">
              <w:rPr>
                <w:noProof/>
                <w:webHidden/>
              </w:rPr>
              <w:tab/>
            </w:r>
            <w:r w:rsidR="00AB4D4A">
              <w:rPr>
                <w:noProof/>
                <w:webHidden/>
              </w:rPr>
              <w:fldChar w:fldCharType="begin"/>
            </w:r>
            <w:r w:rsidR="00AB4D4A">
              <w:rPr>
                <w:noProof/>
                <w:webHidden/>
              </w:rPr>
              <w:instrText xml:space="preserve"> PAGEREF _Toc40092186 \h </w:instrText>
            </w:r>
            <w:r w:rsidR="00AB4D4A">
              <w:rPr>
                <w:noProof/>
                <w:webHidden/>
              </w:rPr>
            </w:r>
            <w:r w:rsidR="00AB4D4A">
              <w:rPr>
                <w:noProof/>
                <w:webHidden/>
              </w:rPr>
              <w:fldChar w:fldCharType="separate"/>
            </w:r>
            <w:r w:rsidR="00AB4D4A">
              <w:rPr>
                <w:noProof/>
                <w:webHidden/>
              </w:rPr>
              <w:t>3</w:t>
            </w:r>
            <w:r w:rsidR="00AB4D4A">
              <w:rPr>
                <w:noProof/>
                <w:webHidden/>
              </w:rPr>
              <w:fldChar w:fldCharType="end"/>
            </w:r>
          </w:hyperlink>
        </w:p>
        <w:p w14:paraId="493BF6CA" w14:textId="304734ED" w:rsidR="00AB4D4A" w:rsidRDefault="00AB4D4A">
          <w:pPr>
            <w:pStyle w:val="TOC1"/>
            <w:tabs>
              <w:tab w:val="right" w:leader="dot" w:pos="9348"/>
            </w:tabs>
            <w:rPr>
              <w:rFonts w:asciiTheme="minorHAnsi" w:eastAsiaTheme="minorEastAsia" w:hAnsiTheme="minorHAnsi" w:cstheme="minorBidi"/>
              <w:noProof/>
              <w:lang w:bidi="ar-SA"/>
            </w:rPr>
          </w:pPr>
          <w:hyperlink w:anchor="_Toc40092187" w:history="1">
            <w:r w:rsidRPr="00A036C7">
              <w:rPr>
                <w:rStyle w:val="Hyperlink"/>
                <w:noProof/>
              </w:rPr>
              <w:t>Mission Statement</w:t>
            </w:r>
            <w:r>
              <w:rPr>
                <w:noProof/>
                <w:webHidden/>
              </w:rPr>
              <w:tab/>
            </w:r>
            <w:r>
              <w:rPr>
                <w:noProof/>
                <w:webHidden/>
              </w:rPr>
              <w:fldChar w:fldCharType="begin"/>
            </w:r>
            <w:r>
              <w:rPr>
                <w:noProof/>
                <w:webHidden/>
              </w:rPr>
              <w:instrText xml:space="preserve"> PAGEREF _Toc40092187 \h </w:instrText>
            </w:r>
            <w:r>
              <w:rPr>
                <w:noProof/>
                <w:webHidden/>
              </w:rPr>
            </w:r>
            <w:r>
              <w:rPr>
                <w:noProof/>
                <w:webHidden/>
              </w:rPr>
              <w:fldChar w:fldCharType="separate"/>
            </w:r>
            <w:r>
              <w:rPr>
                <w:noProof/>
                <w:webHidden/>
              </w:rPr>
              <w:t>4</w:t>
            </w:r>
            <w:r>
              <w:rPr>
                <w:noProof/>
                <w:webHidden/>
              </w:rPr>
              <w:fldChar w:fldCharType="end"/>
            </w:r>
          </w:hyperlink>
        </w:p>
        <w:p w14:paraId="1C777488" w14:textId="7E080767" w:rsidR="00AB4D4A" w:rsidRDefault="00AB4D4A">
          <w:pPr>
            <w:pStyle w:val="TOC1"/>
            <w:tabs>
              <w:tab w:val="left" w:pos="440"/>
              <w:tab w:val="right" w:leader="dot" w:pos="9348"/>
            </w:tabs>
            <w:rPr>
              <w:rFonts w:asciiTheme="minorHAnsi" w:eastAsiaTheme="minorEastAsia" w:hAnsiTheme="minorHAnsi" w:cstheme="minorBidi"/>
              <w:noProof/>
              <w:lang w:bidi="ar-SA"/>
            </w:rPr>
          </w:pPr>
          <w:hyperlink w:anchor="_Toc40092188" w:history="1">
            <w:r w:rsidRPr="00A036C7">
              <w:rPr>
                <w:rStyle w:val="Hyperlink"/>
                <w:noProof/>
              </w:rPr>
              <w:t>1.</w:t>
            </w:r>
            <w:r>
              <w:rPr>
                <w:rFonts w:asciiTheme="minorHAnsi" w:eastAsiaTheme="minorEastAsia" w:hAnsiTheme="minorHAnsi" w:cstheme="minorBidi"/>
                <w:noProof/>
                <w:lang w:bidi="ar-SA"/>
              </w:rPr>
              <w:tab/>
            </w:r>
            <w:r w:rsidRPr="00A036C7">
              <w:rPr>
                <w:rStyle w:val="Hyperlink"/>
                <w:noProof/>
              </w:rPr>
              <w:t>GENERAL CONTEXT</w:t>
            </w:r>
            <w:r>
              <w:rPr>
                <w:noProof/>
                <w:webHidden/>
              </w:rPr>
              <w:tab/>
            </w:r>
            <w:r>
              <w:rPr>
                <w:noProof/>
                <w:webHidden/>
              </w:rPr>
              <w:fldChar w:fldCharType="begin"/>
            </w:r>
            <w:r>
              <w:rPr>
                <w:noProof/>
                <w:webHidden/>
              </w:rPr>
              <w:instrText xml:space="preserve"> PAGEREF _Toc40092188 \h </w:instrText>
            </w:r>
            <w:r>
              <w:rPr>
                <w:noProof/>
                <w:webHidden/>
              </w:rPr>
            </w:r>
            <w:r>
              <w:rPr>
                <w:noProof/>
                <w:webHidden/>
              </w:rPr>
              <w:fldChar w:fldCharType="separate"/>
            </w:r>
            <w:r>
              <w:rPr>
                <w:noProof/>
                <w:webHidden/>
              </w:rPr>
              <w:t>5</w:t>
            </w:r>
            <w:r>
              <w:rPr>
                <w:noProof/>
                <w:webHidden/>
              </w:rPr>
              <w:fldChar w:fldCharType="end"/>
            </w:r>
          </w:hyperlink>
        </w:p>
        <w:p w14:paraId="2DBE5462" w14:textId="7D1BA573" w:rsidR="00AB4D4A" w:rsidRDefault="00AB4D4A">
          <w:pPr>
            <w:pStyle w:val="TOC1"/>
            <w:tabs>
              <w:tab w:val="left" w:pos="440"/>
              <w:tab w:val="right" w:leader="dot" w:pos="9348"/>
            </w:tabs>
            <w:rPr>
              <w:rFonts w:asciiTheme="minorHAnsi" w:eastAsiaTheme="minorEastAsia" w:hAnsiTheme="minorHAnsi" w:cstheme="minorBidi"/>
              <w:noProof/>
              <w:lang w:bidi="ar-SA"/>
            </w:rPr>
          </w:pPr>
          <w:hyperlink w:anchor="_Toc40092189" w:history="1">
            <w:r w:rsidRPr="00A036C7">
              <w:rPr>
                <w:rStyle w:val="Hyperlink"/>
                <w:noProof/>
              </w:rPr>
              <w:t>2.</w:t>
            </w:r>
            <w:r>
              <w:rPr>
                <w:rFonts w:asciiTheme="minorHAnsi" w:eastAsiaTheme="minorEastAsia" w:hAnsiTheme="minorHAnsi" w:cstheme="minorBidi"/>
                <w:noProof/>
                <w:lang w:bidi="ar-SA"/>
              </w:rPr>
              <w:tab/>
            </w:r>
            <w:r w:rsidRPr="00A036C7">
              <w:rPr>
                <w:rStyle w:val="Hyperlink"/>
                <w:noProof/>
              </w:rPr>
              <w:t>OPERATIONAL ACTIVITIES</w:t>
            </w:r>
            <w:r>
              <w:rPr>
                <w:noProof/>
                <w:webHidden/>
              </w:rPr>
              <w:tab/>
            </w:r>
            <w:r>
              <w:rPr>
                <w:noProof/>
                <w:webHidden/>
              </w:rPr>
              <w:fldChar w:fldCharType="begin"/>
            </w:r>
            <w:r>
              <w:rPr>
                <w:noProof/>
                <w:webHidden/>
              </w:rPr>
              <w:instrText xml:space="preserve"> PAGEREF _Toc40092189 \h </w:instrText>
            </w:r>
            <w:r>
              <w:rPr>
                <w:noProof/>
                <w:webHidden/>
              </w:rPr>
            </w:r>
            <w:r>
              <w:rPr>
                <w:noProof/>
                <w:webHidden/>
              </w:rPr>
              <w:fldChar w:fldCharType="separate"/>
            </w:r>
            <w:r>
              <w:rPr>
                <w:noProof/>
                <w:webHidden/>
              </w:rPr>
              <w:t>6</w:t>
            </w:r>
            <w:r>
              <w:rPr>
                <w:noProof/>
                <w:webHidden/>
              </w:rPr>
              <w:fldChar w:fldCharType="end"/>
            </w:r>
          </w:hyperlink>
        </w:p>
        <w:p w14:paraId="79B7F84F" w14:textId="2404E7B5" w:rsidR="00AB4D4A" w:rsidRDefault="00AB4D4A">
          <w:pPr>
            <w:pStyle w:val="TOC1"/>
            <w:tabs>
              <w:tab w:val="right" w:leader="dot" w:pos="9348"/>
            </w:tabs>
            <w:rPr>
              <w:rFonts w:asciiTheme="minorHAnsi" w:eastAsiaTheme="minorEastAsia" w:hAnsiTheme="minorHAnsi" w:cstheme="minorBidi"/>
              <w:noProof/>
              <w:lang w:bidi="ar-SA"/>
            </w:rPr>
          </w:pPr>
          <w:hyperlink w:anchor="_Toc40092190" w:history="1">
            <w:r w:rsidRPr="00A036C7">
              <w:rPr>
                <w:rStyle w:val="Hyperlink"/>
                <w:noProof/>
              </w:rPr>
              <w:t>2.1 Facilitating access to information on labour mobility</w:t>
            </w:r>
            <w:r>
              <w:rPr>
                <w:noProof/>
                <w:webHidden/>
              </w:rPr>
              <w:tab/>
            </w:r>
            <w:r>
              <w:rPr>
                <w:noProof/>
                <w:webHidden/>
              </w:rPr>
              <w:fldChar w:fldCharType="begin"/>
            </w:r>
            <w:r>
              <w:rPr>
                <w:noProof/>
                <w:webHidden/>
              </w:rPr>
              <w:instrText xml:space="preserve"> PAGEREF _Toc40092190 \h </w:instrText>
            </w:r>
            <w:r>
              <w:rPr>
                <w:noProof/>
                <w:webHidden/>
              </w:rPr>
            </w:r>
            <w:r>
              <w:rPr>
                <w:noProof/>
                <w:webHidden/>
              </w:rPr>
              <w:fldChar w:fldCharType="separate"/>
            </w:r>
            <w:r>
              <w:rPr>
                <w:noProof/>
                <w:webHidden/>
              </w:rPr>
              <w:t>6</w:t>
            </w:r>
            <w:r>
              <w:rPr>
                <w:noProof/>
                <w:webHidden/>
              </w:rPr>
              <w:fldChar w:fldCharType="end"/>
            </w:r>
          </w:hyperlink>
        </w:p>
        <w:p w14:paraId="21BDDE32" w14:textId="09DE1A72" w:rsidR="00AB4D4A" w:rsidRDefault="00AB4D4A">
          <w:pPr>
            <w:pStyle w:val="TOC1"/>
            <w:tabs>
              <w:tab w:val="right" w:leader="dot" w:pos="9348"/>
            </w:tabs>
            <w:rPr>
              <w:rFonts w:asciiTheme="minorHAnsi" w:eastAsiaTheme="minorEastAsia" w:hAnsiTheme="minorHAnsi" w:cstheme="minorBidi"/>
              <w:noProof/>
              <w:lang w:bidi="ar-SA"/>
            </w:rPr>
          </w:pPr>
          <w:hyperlink w:anchor="_Toc40092191" w:history="1">
            <w:r w:rsidRPr="00A036C7">
              <w:rPr>
                <w:rStyle w:val="Hyperlink"/>
                <w:noProof/>
              </w:rPr>
              <w:t>2.2 Coordination and support of concerted and joint inspections</w:t>
            </w:r>
            <w:r>
              <w:rPr>
                <w:noProof/>
                <w:webHidden/>
              </w:rPr>
              <w:tab/>
            </w:r>
            <w:r>
              <w:rPr>
                <w:noProof/>
                <w:webHidden/>
              </w:rPr>
              <w:fldChar w:fldCharType="begin"/>
            </w:r>
            <w:r>
              <w:rPr>
                <w:noProof/>
                <w:webHidden/>
              </w:rPr>
              <w:instrText xml:space="preserve"> PAGEREF _Toc40092191 \h </w:instrText>
            </w:r>
            <w:r>
              <w:rPr>
                <w:noProof/>
                <w:webHidden/>
              </w:rPr>
            </w:r>
            <w:r>
              <w:rPr>
                <w:noProof/>
                <w:webHidden/>
              </w:rPr>
              <w:fldChar w:fldCharType="separate"/>
            </w:r>
            <w:r>
              <w:rPr>
                <w:noProof/>
                <w:webHidden/>
              </w:rPr>
              <w:t>9</w:t>
            </w:r>
            <w:r>
              <w:rPr>
                <w:noProof/>
                <w:webHidden/>
              </w:rPr>
              <w:fldChar w:fldCharType="end"/>
            </w:r>
          </w:hyperlink>
        </w:p>
        <w:p w14:paraId="0C01E26F" w14:textId="2C083017" w:rsidR="00AB4D4A" w:rsidRDefault="00AB4D4A">
          <w:pPr>
            <w:pStyle w:val="TOC1"/>
            <w:tabs>
              <w:tab w:val="right" w:leader="dot" w:pos="9348"/>
            </w:tabs>
            <w:rPr>
              <w:rFonts w:asciiTheme="minorHAnsi" w:eastAsiaTheme="minorEastAsia" w:hAnsiTheme="minorHAnsi" w:cstheme="minorBidi"/>
              <w:noProof/>
              <w:lang w:bidi="ar-SA"/>
            </w:rPr>
          </w:pPr>
          <w:hyperlink w:anchor="_Toc40092192" w:history="1">
            <w:r w:rsidRPr="00A036C7">
              <w:rPr>
                <w:rStyle w:val="Hyperlink"/>
                <w:noProof/>
              </w:rPr>
              <w:t>Other actions</w:t>
            </w:r>
            <w:r>
              <w:rPr>
                <w:noProof/>
                <w:webHidden/>
              </w:rPr>
              <w:tab/>
            </w:r>
            <w:r>
              <w:rPr>
                <w:noProof/>
                <w:webHidden/>
              </w:rPr>
              <w:fldChar w:fldCharType="begin"/>
            </w:r>
            <w:r>
              <w:rPr>
                <w:noProof/>
                <w:webHidden/>
              </w:rPr>
              <w:instrText xml:space="preserve"> PAGEREF _Toc40092192 \h </w:instrText>
            </w:r>
            <w:r>
              <w:rPr>
                <w:noProof/>
                <w:webHidden/>
              </w:rPr>
            </w:r>
            <w:r>
              <w:rPr>
                <w:noProof/>
                <w:webHidden/>
              </w:rPr>
              <w:fldChar w:fldCharType="separate"/>
            </w:r>
            <w:r>
              <w:rPr>
                <w:noProof/>
                <w:webHidden/>
              </w:rPr>
              <w:t>12</w:t>
            </w:r>
            <w:r>
              <w:rPr>
                <w:noProof/>
                <w:webHidden/>
              </w:rPr>
              <w:fldChar w:fldCharType="end"/>
            </w:r>
          </w:hyperlink>
        </w:p>
        <w:p w14:paraId="3F586DA1" w14:textId="7C0CAF4F" w:rsidR="00AB4D4A" w:rsidRDefault="00AB4D4A">
          <w:pPr>
            <w:pStyle w:val="TOC1"/>
            <w:tabs>
              <w:tab w:val="right" w:leader="dot" w:pos="9348"/>
            </w:tabs>
            <w:rPr>
              <w:rFonts w:asciiTheme="minorHAnsi" w:eastAsiaTheme="minorEastAsia" w:hAnsiTheme="minorHAnsi" w:cstheme="minorBidi"/>
              <w:noProof/>
              <w:lang w:bidi="ar-SA"/>
            </w:rPr>
          </w:pPr>
          <w:hyperlink w:anchor="_Toc40092193" w:history="1">
            <w:r w:rsidRPr="00A036C7">
              <w:rPr>
                <w:rStyle w:val="Hyperlink"/>
                <w:noProof/>
              </w:rPr>
              <w:t>2.3 Cooperation and exchange of information between Member States</w:t>
            </w:r>
            <w:r>
              <w:rPr>
                <w:noProof/>
                <w:webHidden/>
              </w:rPr>
              <w:tab/>
            </w:r>
            <w:r>
              <w:rPr>
                <w:noProof/>
                <w:webHidden/>
              </w:rPr>
              <w:fldChar w:fldCharType="begin"/>
            </w:r>
            <w:r>
              <w:rPr>
                <w:noProof/>
                <w:webHidden/>
              </w:rPr>
              <w:instrText xml:space="preserve"> PAGEREF _Toc40092193 \h </w:instrText>
            </w:r>
            <w:r>
              <w:rPr>
                <w:noProof/>
                <w:webHidden/>
              </w:rPr>
            </w:r>
            <w:r>
              <w:rPr>
                <w:noProof/>
                <w:webHidden/>
              </w:rPr>
              <w:fldChar w:fldCharType="separate"/>
            </w:r>
            <w:r>
              <w:rPr>
                <w:noProof/>
                <w:webHidden/>
              </w:rPr>
              <w:t>12</w:t>
            </w:r>
            <w:r>
              <w:rPr>
                <w:noProof/>
                <w:webHidden/>
              </w:rPr>
              <w:fldChar w:fldCharType="end"/>
            </w:r>
          </w:hyperlink>
        </w:p>
        <w:p w14:paraId="3E7280E5" w14:textId="1583AE30" w:rsidR="00AB4D4A" w:rsidRDefault="00AB4D4A">
          <w:pPr>
            <w:pStyle w:val="TOC1"/>
            <w:tabs>
              <w:tab w:val="right" w:leader="dot" w:pos="9348"/>
            </w:tabs>
            <w:rPr>
              <w:rFonts w:asciiTheme="minorHAnsi" w:eastAsiaTheme="minorEastAsia" w:hAnsiTheme="minorHAnsi" w:cstheme="minorBidi"/>
              <w:noProof/>
              <w:lang w:bidi="ar-SA"/>
            </w:rPr>
          </w:pPr>
          <w:hyperlink w:anchor="_Toc40092194" w:history="1">
            <w:r w:rsidRPr="00A036C7">
              <w:rPr>
                <w:rStyle w:val="Hyperlink"/>
                <w:noProof/>
              </w:rPr>
              <w:t>2.4 Labour mobility analyses and risk assessment</w:t>
            </w:r>
            <w:r>
              <w:rPr>
                <w:noProof/>
                <w:webHidden/>
              </w:rPr>
              <w:tab/>
            </w:r>
            <w:r>
              <w:rPr>
                <w:noProof/>
                <w:webHidden/>
              </w:rPr>
              <w:fldChar w:fldCharType="begin"/>
            </w:r>
            <w:r>
              <w:rPr>
                <w:noProof/>
                <w:webHidden/>
              </w:rPr>
              <w:instrText xml:space="preserve"> PAGEREF _Toc40092194 \h </w:instrText>
            </w:r>
            <w:r>
              <w:rPr>
                <w:noProof/>
                <w:webHidden/>
              </w:rPr>
            </w:r>
            <w:r>
              <w:rPr>
                <w:noProof/>
                <w:webHidden/>
              </w:rPr>
              <w:fldChar w:fldCharType="separate"/>
            </w:r>
            <w:r>
              <w:rPr>
                <w:noProof/>
                <w:webHidden/>
              </w:rPr>
              <w:t>14</w:t>
            </w:r>
            <w:r>
              <w:rPr>
                <w:noProof/>
                <w:webHidden/>
              </w:rPr>
              <w:fldChar w:fldCharType="end"/>
            </w:r>
          </w:hyperlink>
        </w:p>
        <w:p w14:paraId="49C7AF00" w14:textId="5E3E82DE" w:rsidR="00AB4D4A" w:rsidRDefault="00AB4D4A">
          <w:pPr>
            <w:pStyle w:val="TOC1"/>
            <w:tabs>
              <w:tab w:val="right" w:leader="dot" w:pos="9348"/>
            </w:tabs>
            <w:rPr>
              <w:rFonts w:asciiTheme="minorHAnsi" w:eastAsiaTheme="minorEastAsia" w:hAnsiTheme="minorHAnsi" w:cstheme="minorBidi"/>
              <w:noProof/>
              <w:lang w:bidi="ar-SA"/>
            </w:rPr>
          </w:pPr>
          <w:hyperlink w:anchor="_Toc40092195" w:history="1">
            <w:r w:rsidRPr="00A036C7">
              <w:rPr>
                <w:rStyle w:val="Hyperlink"/>
                <w:noProof/>
              </w:rPr>
              <w:t>2.5 Capacity building</w:t>
            </w:r>
            <w:r>
              <w:rPr>
                <w:noProof/>
                <w:webHidden/>
              </w:rPr>
              <w:tab/>
            </w:r>
            <w:r>
              <w:rPr>
                <w:noProof/>
                <w:webHidden/>
              </w:rPr>
              <w:fldChar w:fldCharType="begin"/>
            </w:r>
            <w:r>
              <w:rPr>
                <w:noProof/>
                <w:webHidden/>
              </w:rPr>
              <w:instrText xml:space="preserve"> PAGEREF _Toc40092195 \h </w:instrText>
            </w:r>
            <w:r>
              <w:rPr>
                <w:noProof/>
                <w:webHidden/>
              </w:rPr>
            </w:r>
            <w:r>
              <w:rPr>
                <w:noProof/>
                <w:webHidden/>
              </w:rPr>
              <w:fldChar w:fldCharType="separate"/>
            </w:r>
            <w:r>
              <w:rPr>
                <w:noProof/>
                <w:webHidden/>
              </w:rPr>
              <w:t>15</w:t>
            </w:r>
            <w:r>
              <w:rPr>
                <w:noProof/>
                <w:webHidden/>
              </w:rPr>
              <w:fldChar w:fldCharType="end"/>
            </w:r>
          </w:hyperlink>
        </w:p>
        <w:p w14:paraId="0C917CBA" w14:textId="59C07FBE" w:rsidR="00AB4D4A" w:rsidRDefault="00AB4D4A">
          <w:pPr>
            <w:pStyle w:val="TOC1"/>
            <w:tabs>
              <w:tab w:val="right" w:leader="dot" w:pos="9348"/>
            </w:tabs>
            <w:rPr>
              <w:rFonts w:asciiTheme="minorHAnsi" w:eastAsiaTheme="minorEastAsia" w:hAnsiTheme="minorHAnsi" w:cstheme="minorBidi"/>
              <w:noProof/>
              <w:lang w:bidi="ar-SA"/>
            </w:rPr>
          </w:pPr>
          <w:hyperlink w:anchor="_Toc40092196" w:history="1">
            <w:r w:rsidRPr="00A036C7">
              <w:rPr>
                <w:rStyle w:val="Hyperlink"/>
                <w:noProof/>
              </w:rPr>
              <w:t>2.6 Mediation between Member States</w:t>
            </w:r>
            <w:r>
              <w:rPr>
                <w:noProof/>
                <w:webHidden/>
              </w:rPr>
              <w:tab/>
            </w:r>
            <w:r>
              <w:rPr>
                <w:noProof/>
                <w:webHidden/>
              </w:rPr>
              <w:fldChar w:fldCharType="begin"/>
            </w:r>
            <w:r>
              <w:rPr>
                <w:noProof/>
                <w:webHidden/>
              </w:rPr>
              <w:instrText xml:space="preserve"> PAGEREF _Toc40092196 \h </w:instrText>
            </w:r>
            <w:r>
              <w:rPr>
                <w:noProof/>
                <w:webHidden/>
              </w:rPr>
            </w:r>
            <w:r>
              <w:rPr>
                <w:noProof/>
                <w:webHidden/>
              </w:rPr>
              <w:fldChar w:fldCharType="separate"/>
            </w:r>
            <w:r>
              <w:rPr>
                <w:noProof/>
                <w:webHidden/>
              </w:rPr>
              <w:t>16</w:t>
            </w:r>
            <w:r>
              <w:rPr>
                <w:noProof/>
                <w:webHidden/>
              </w:rPr>
              <w:fldChar w:fldCharType="end"/>
            </w:r>
          </w:hyperlink>
        </w:p>
        <w:p w14:paraId="446AAA5C" w14:textId="3EB52E5A" w:rsidR="00AB4D4A" w:rsidRDefault="00AB4D4A">
          <w:pPr>
            <w:pStyle w:val="TOC1"/>
            <w:tabs>
              <w:tab w:val="right" w:leader="dot" w:pos="9348"/>
            </w:tabs>
            <w:rPr>
              <w:rFonts w:asciiTheme="minorHAnsi" w:eastAsiaTheme="minorEastAsia" w:hAnsiTheme="minorHAnsi" w:cstheme="minorBidi"/>
              <w:noProof/>
              <w:lang w:bidi="ar-SA"/>
            </w:rPr>
          </w:pPr>
          <w:hyperlink w:anchor="_Toc40092197" w:history="1">
            <w:r w:rsidRPr="00A036C7">
              <w:rPr>
                <w:rStyle w:val="Hyperlink"/>
                <w:noProof/>
              </w:rPr>
              <w:t>2.7 Preparatory actions for the transfer of EURES and of the Platform tackling undeclared work</w:t>
            </w:r>
            <w:r>
              <w:rPr>
                <w:noProof/>
                <w:webHidden/>
              </w:rPr>
              <w:tab/>
            </w:r>
            <w:r>
              <w:rPr>
                <w:noProof/>
                <w:webHidden/>
              </w:rPr>
              <w:fldChar w:fldCharType="begin"/>
            </w:r>
            <w:r>
              <w:rPr>
                <w:noProof/>
                <w:webHidden/>
              </w:rPr>
              <w:instrText xml:space="preserve"> PAGEREF _Toc40092197 \h </w:instrText>
            </w:r>
            <w:r>
              <w:rPr>
                <w:noProof/>
                <w:webHidden/>
              </w:rPr>
            </w:r>
            <w:r>
              <w:rPr>
                <w:noProof/>
                <w:webHidden/>
              </w:rPr>
              <w:fldChar w:fldCharType="separate"/>
            </w:r>
            <w:r>
              <w:rPr>
                <w:noProof/>
                <w:webHidden/>
              </w:rPr>
              <w:t>17</w:t>
            </w:r>
            <w:r>
              <w:rPr>
                <w:noProof/>
                <w:webHidden/>
              </w:rPr>
              <w:fldChar w:fldCharType="end"/>
            </w:r>
          </w:hyperlink>
        </w:p>
        <w:p w14:paraId="4B166D81" w14:textId="4ADF7955" w:rsidR="00AB4D4A" w:rsidRDefault="00AB4D4A">
          <w:pPr>
            <w:pStyle w:val="TOC1"/>
            <w:tabs>
              <w:tab w:val="right" w:leader="dot" w:pos="9348"/>
            </w:tabs>
            <w:rPr>
              <w:rFonts w:asciiTheme="minorHAnsi" w:eastAsiaTheme="minorEastAsia" w:hAnsiTheme="minorHAnsi" w:cstheme="minorBidi"/>
              <w:noProof/>
              <w:lang w:bidi="ar-SA"/>
            </w:rPr>
          </w:pPr>
          <w:hyperlink w:anchor="_Toc40092198" w:history="1">
            <w:r w:rsidRPr="00A036C7">
              <w:rPr>
                <w:rStyle w:val="Hyperlink"/>
                <w:noProof/>
              </w:rPr>
              <w:t>2.8 Preparatory works for integration of existing bodies</w:t>
            </w:r>
            <w:r>
              <w:rPr>
                <w:noProof/>
                <w:webHidden/>
              </w:rPr>
              <w:tab/>
            </w:r>
            <w:r>
              <w:rPr>
                <w:noProof/>
                <w:webHidden/>
              </w:rPr>
              <w:fldChar w:fldCharType="begin"/>
            </w:r>
            <w:r>
              <w:rPr>
                <w:noProof/>
                <w:webHidden/>
              </w:rPr>
              <w:instrText xml:space="preserve"> PAGEREF _Toc40092198 \h </w:instrText>
            </w:r>
            <w:r>
              <w:rPr>
                <w:noProof/>
                <w:webHidden/>
              </w:rPr>
            </w:r>
            <w:r>
              <w:rPr>
                <w:noProof/>
                <w:webHidden/>
              </w:rPr>
              <w:fldChar w:fldCharType="separate"/>
            </w:r>
            <w:r>
              <w:rPr>
                <w:noProof/>
                <w:webHidden/>
              </w:rPr>
              <w:t>24</w:t>
            </w:r>
            <w:r>
              <w:rPr>
                <w:noProof/>
                <w:webHidden/>
              </w:rPr>
              <w:fldChar w:fldCharType="end"/>
            </w:r>
          </w:hyperlink>
        </w:p>
        <w:p w14:paraId="3673BEC9" w14:textId="789F33C3" w:rsidR="00AB4D4A" w:rsidRDefault="00AB4D4A">
          <w:pPr>
            <w:pStyle w:val="TOC1"/>
            <w:tabs>
              <w:tab w:val="right" w:leader="dot" w:pos="9348"/>
            </w:tabs>
            <w:rPr>
              <w:rFonts w:asciiTheme="minorHAnsi" w:eastAsiaTheme="minorEastAsia" w:hAnsiTheme="minorHAnsi" w:cstheme="minorBidi"/>
              <w:noProof/>
              <w:lang w:bidi="ar-SA"/>
            </w:rPr>
          </w:pPr>
          <w:hyperlink w:anchor="_Toc40092199" w:history="1">
            <w:r w:rsidRPr="00A036C7">
              <w:rPr>
                <w:rStyle w:val="Hyperlink"/>
                <w:noProof/>
              </w:rPr>
              <w:t>2.9 Cooperation with other bodies</w:t>
            </w:r>
            <w:r>
              <w:rPr>
                <w:noProof/>
                <w:webHidden/>
              </w:rPr>
              <w:tab/>
            </w:r>
            <w:r>
              <w:rPr>
                <w:noProof/>
                <w:webHidden/>
              </w:rPr>
              <w:fldChar w:fldCharType="begin"/>
            </w:r>
            <w:r>
              <w:rPr>
                <w:noProof/>
                <w:webHidden/>
              </w:rPr>
              <w:instrText xml:space="preserve"> PAGEREF _Toc40092199 \h </w:instrText>
            </w:r>
            <w:r>
              <w:rPr>
                <w:noProof/>
                <w:webHidden/>
              </w:rPr>
            </w:r>
            <w:r>
              <w:rPr>
                <w:noProof/>
                <w:webHidden/>
              </w:rPr>
              <w:fldChar w:fldCharType="separate"/>
            </w:r>
            <w:r>
              <w:rPr>
                <w:noProof/>
                <w:webHidden/>
              </w:rPr>
              <w:t>24</w:t>
            </w:r>
            <w:r>
              <w:rPr>
                <w:noProof/>
                <w:webHidden/>
              </w:rPr>
              <w:fldChar w:fldCharType="end"/>
            </w:r>
          </w:hyperlink>
        </w:p>
        <w:p w14:paraId="116B0575" w14:textId="227BC39F" w:rsidR="00AB4D4A" w:rsidRDefault="00AB4D4A">
          <w:pPr>
            <w:pStyle w:val="TOC1"/>
            <w:tabs>
              <w:tab w:val="right" w:leader="dot" w:pos="9348"/>
            </w:tabs>
            <w:rPr>
              <w:rFonts w:asciiTheme="minorHAnsi" w:eastAsiaTheme="minorEastAsia" w:hAnsiTheme="minorHAnsi" w:cstheme="minorBidi"/>
              <w:noProof/>
              <w:lang w:bidi="ar-SA"/>
            </w:rPr>
          </w:pPr>
          <w:hyperlink w:anchor="_Toc40092200" w:history="1">
            <w:r w:rsidRPr="00A036C7">
              <w:rPr>
                <w:rStyle w:val="Hyperlink"/>
                <w:noProof/>
              </w:rPr>
              <w:t>2.10 Communication and dissemination activities</w:t>
            </w:r>
            <w:r>
              <w:rPr>
                <w:noProof/>
                <w:webHidden/>
              </w:rPr>
              <w:tab/>
            </w:r>
            <w:r>
              <w:rPr>
                <w:noProof/>
                <w:webHidden/>
              </w:rPr>
              <w:fldChar w:fldCharType="begin"/>
            </w:r>
            <w:r>
              <w:rPr>
                <w:noProof/>
                <w:webHidden/>
              </w:rPr>
              <w:instrText xml:space="preserve"> PAGEREF _Toc40092200 \h </w:instrText>
            </w:r>
            <w:r>
              <w:rPr>
                <w:noProof/>
                <w:webHidden/>
              </w:rPr>
            </w:r>
            <w:r>
              <w:rPr>
                <w:noProof/>
                <w:webHidden/>
              </w:rPr>
              <w:fldChar w:fldCharType="separate"/>
            </w:r>
            <w:r>
              <w:rPr>
                <w:noProof/>
                <w:webHidden/>
              </w:rPr>
              <w:t>24</w:t>
            </w:r>
            <w:r>
              <w:rPr>
                <w:noProof/>
                <w:webHidden/>
              </w:rPr>
              <w:fldChar w:fldCharType="end"/>
            </w:r>
          </w:hyperlink>
        </w:p>
        <w:p w14:paraId="51BD0436" w14:textId="5D5B34FC" w:rsidR="00AB4D4A" w:rsidRDefault="00AB4D4A">
          <w:pPr>
            <w:pStyle w:val="TOC1"/>
            <w:tabs>
              <w:tab w:val="left" w:pos="440"/>
              <w:tab w:val="right" w:leader="dot" w:pos="9348"/>
            </w:tabs>
            <w:rPr>
              <w:rFonts w:asciiTheme="minorHAnsi" w:eastAsiaTheme="minorEastAsia" w:hAnsiTheme="minorHAnsi" w:cstheme="minorBidi"/>
              <w:noProof/>
              <w:lang w:bidi="ar-SA"/>
            </w:rPr>
          </w:pPr>
          <w:hyperlink w:anchor="_Toc40092201" w:history="1">
            <w:r w:rsidRPr="00A036C7">
              <w:rPr>
                <w:rStyle w:val="Hyperlink"/>
                <w:noProof/>
              </w:rPr>
              <w:t>3.</w:t>
            </w:r>
            <w:r>
              <w:rPr>
                <w:rFonts w:asciiTheme="minorHAnsi" w:eastAsiaTheme="minorEastAsia" w:hAnsiTheme="minorHAnsi" w:cstheme="minorBidi"/>
                <w:noProof/>
                <w:lang w:bidi="ar-SA"/>
              </w:rPr>
              <w:tab/>
            </w:r>
            <w:r w:rsidRPr="00A036C7">
              <w:rPr>
                <w:rStyle w:val="Hyperlink"/>
                <w:noProof/>
              </w:rPr>
              <w:t>GOVERNANCE AND SUPPORT ACTIVITIES</w:t>
            </w:r>
            <w:r>
              <w:rPr>
                <w:noProof/>
                <w:webHidden/>
              </w:rPr>
              <w:tab/>
            </w:r>
            <w:r>
              <w:rPr>
                <w:noProof/>
                <w:webHidden/>
              </w:rPr>
              <w:fldChar w:fldCharType="begin"/>
            </w:r>
            <w:r>
              <w:rPr>
                <w:noProof/>
                <w:webHidden/>
              </w:rPr>
              <w:instrText xml:space="preserve"> PAGEREF _Toc40092201 \h </w:instrText>
            </w:r>
            <w:r>
              <w:rPr>
                <w:noProof/>
                <w:webHidden/>
              </w:rPr>
            </w:r>
            <w:r>
              <w:rPr>
                <w:noProof/>
                <w:webHidden/>
              </w:rPr>
              <w:fldChar w:fldCharType="separate"/>
            </w:r>
            <w:r>
              <w:rPr>
                <w:noProof/>
                <w:webHidden/>
              </w:rPr>
              <w:t>26</w:t>
            </w:r>
            <w:r>
              <w:rPr>
                <w:noProof/>
                <w:webHidden/>
              </w:rPr>
              <w:fldChar w:fldCharType="end"/>
            </w:r>
          </w:hyperlink>
        </w:p>
        <w:p w14:paraId="5B5779FC" w14:textId="7B0C3905" w:rsidR="00AB4D4A" w:rsidRDefault="00AB4D4A">
          <w:pPr>
            <w:pStyle w:val="TOC1"/>
            <w:tabs>
              <w:tab w:val="left" w:pos="660"/>
              <w:tab w:val="right" w:leader="dot" w:pos="9348"/>
            </w:tabs>
            <w:rPr>
              <w:rFonts w:asciiTheme="minorHAnsi" w:eastAsiaTheme="minorEastAsia" w:hAnsiTheme="minorHAnsi" w:cstheme="minorBidi"/>
              <w:noProof/>
              <w:lang w:bidi="ar-SA"/>
            </w:rPr>
          </w:pPr>
          <w:hyperlink w:anchor="_Toc40092202" w:history="1">
            <w:r w:rsidRPr="00A036C7">
              <w:rPr>
                <w:rStyle w:val="Hyperlink"/>
                <w:rFonts w:eastAsia="Times New Roman"/>
                <w:noProof/>
              </w:rPr>
              <w:t>3.1</w:t>
            </w:r>
            <w:r>
              <w:rPr>
                <w:rFonts w:asciiTheme="minorHAnsi" w:eastAsiaTheme="minorEastAsia" w:hAnsiTheme="minorHAnsi" w:cstheme="minorBidi"/>
                <w:noProof/>
                <w:lang w:bidi="ar-SA"/>
              </w:rPr>
              <w:tab/>
            </w:r>
            <w:r w:rsidRPr="00A036C7">
              <w:rPr>
                <w:rStyle w:val="Hyperlink"/>
                <w:noProof/>
              </w:rPr>
              <w:t>Management Board</w:t>
            </w:r>
            <w:r>
              <w:rPr>
                <w:noProof/>
                <w:webHidden/>
              </w:rPr>
              <w:tab/>
            </w:r>
            <w:r>
              <w:rPr>
                <w:noProof/>
                <w:webHidden/>
              </w:rPr>
              <w:fldChar w:fldCharType="begin"/>
            </w:r>
            <w:r>
              <w:rPr>
                <w:noProof/>
                <w:webHidden/>
              </w:rPr>
              <w:instrText xml:space="preserve"> PAGEREF _Toc40092202 \h </w:instrText>
            </w:r>
            <w:r>
              <w:rPr>
                <w:noProof/>
                <w:webHidden/>
              </w:rPr>
            </w:r>
            <w:r>
              <w:rPr>
                <w:noProof/>
                <w:webHidden/>
              </w:rPr>
              <w:fldChar w:fldCharType="separate"/>
            </w:r>
            <w:r>
              <w:rPr>
                <w:noProof/>
                <w:webHidden/>
              </w:rPr>
              <w:t>26</w:t>
            </w:r>
            <w:r>
              <w:rPr>
                <w:noProof/>
                <w:webHidden/>
              </w:rPr>
              <w:fldChar w:fldCharType="end"/>
            </w:r>
          </w:hyperlink>
        </w:p>
        <w:p w14:paraId="45EFA7BE" w14:textId="3E37171C" w:rsidR="00AB4D4A" w:rsidRDefault="00AB4D4A">
          <w:pPr>
            <w:pStyle w:val="TOC1"/>
            <w:tabs>
              <w:tab w:val="left" w:pos="660"/>
              <w:tab w:val="right" w:leader="dot" w:pos="9348"/>
            </w:tabs>
            <w:rPr>
              <w:rFonts w:asciiTheme="minorHAnsi" w:eastAsiaTheme="minorEastAsia" w:hAnsiTheme="minorHAnsi" w:cstheme="minorBidi"/>
              <w:noProof/>
              <w:lang w:bidi="ar-SA"/>
            </w:rPr>
          </w:pPr>
          <w:hyperlink w:anchor="_Toc40092203" w:history="1">
            <w:r w:rsidRPr="00A036C7">
              <w:rPr>
                <w:rStyle w:val="Hyperlink"/>
                <w:noProof/>
              </w:rPr>
              <w:t>3.2</w:t>
            </w:r>
            <w:r>
              <w:rPr>
                <w:rFonts w:asciiTheme="minorHAnsi" w:eastAsiaTheme="minorEastAsia" w:hAnsiTheme="minorHAnsi" w:cstheme="minorBidi"/>
                <w:noProof/>
                <w:lang w:bidi="ar-SA"/>
              </w:rPr>
              <w:tab/>
            </w:r>
            <w:r w:rsidRPr="00A036C7">
              <w:rPr>
                <w:rStyle w:val="Hyperlink"/>
                <w:noProof/>
              </w:rPr>
              <w:t>Executive Director</w:t>
            </w:r>
            <w:r>
              <w:rPr>
                <w:noProof/>
                <w:webHidden/>
              </w:rPr>
              <w:tab/>
            </w:r>
            <w:r>
              <w:rPr>
                <w:noProof/>
                <w:webHidden/>
              </w:rPr>
              <w:fldChar w:fldCharType="begin"/>
            </w:r>
            <w:r>
              <w:rPr>
                <w:noProof/>
                <w:webHidden/>
              </w:rPr>
              <w:instrText xml:space="preserve"> PAGEREF _Toc40092203 \h </w:instrText>
            </w:r>
            <w:r>
              <w:rPr>
                <w:noProof/>
                <w:webHidden/>
              </w:rPr>
            </w:r>
            <w:r>
              <w:rPr>
                <w:noProof/>
                <w:webHidden/>
              </w:rPr>
              <w:fldChar w:fldCharType="separate"/>
            </w:r>
            <w:r>
              <w:rPr>
                <w:noProof/>
                <w:webHidden/>
              </w:rPr>
              <w:t>26</w:t>
            </w:r>
            <w:r>
              <w:rPr>
                <w:noProof/>
                <w:webHidden/>
              </w:rPr>
              <w:fldChar w:fldCharType="end"/>
            </w:r>
          </w:hyperlink>
        </w:p>
        <w:p w14:paraId="1602ECC8" w14:textId="13697088" w:rsidR="00AB4D4A" w:rsidRDefault="00AB4D4A">
          <w:pPr>
            <w:pStyle w:val="TOC1"/>
            <w:tabs>
              <w:tab w:val="left" w:pos="660"/>
              <w:tab w:val="right" w:leader="dot" w:pos="9348"/>
            </w:tabs>
            <w:rPr>
              <w:rFonts w:asciiTheme="minorHAnsi" w:eastAsiaTheme="minorEastAsia" w:hAnsiTheme="minorHAnsi" w:cstheme="minorBidi"/>
              <w:noProof/>
              <w:lang w:bidi="ar-SA"/>
            </w:rPr>
          </w:pPr>
          <w:hyperlink w:anchor="_Toc40092204" w:history="1">
            <w:r w:rsidRPr="00A036C7">
              <w:rPr>
                <w:rStyle w:val="Hyperlink"/>
                <w:noProof/>
              </w:rPr>
              <w:t>3.3</w:t>
            </w:r>
            <w:r>
              <w:rPr>
                <w:rFonts w:asciiTheme="minorHAnsi" w:eastAsiaTheme="minorEastAsia" w:hAnsiTheme="minorHAnsi" w:cstheme="minorBidi"/>
                <w:noProof/>
                <w:lang w:bidi="ar-SA"/>
              </w:rPr>
              <w:tab/>
            </w:r>
            <w:r w:rsidRPr="00A036C7">
              <w:rPr>
                <w:rStyle w:val="Hyperlink"/>
                <w:noProof/>
              </w:rPr>
              <w:t>Stakeholder Group</w:t>
            </w:r>
            <w:r>
              <w:rPr>
                <w:noProof/>
                <w:webHidden/>
              </w:rPr>
              <w:tab/>
            </w:r>
            <w:r>
              <w:rPr>
                <w:noProof/>
                <w:webHidden/>
              </w:rPr>
              <w:fldChar w:fldCharType="begin"/>
            </w:r>
            <w:r>
              <w:rPr>
                <w:noProof/>
                <w:webHidden/>
              </w:rPr>
              <w:instrText xml:space="preserve"> PAGEREF _Toc40092204 \h </w:instrText>
            </w:r>
            <w:r>
              <w:rPr>
                <w:noProof/>
                <w:webHidden/>
              </w:rPr>
            </w:r>
            <w:r>
              <w:rPr>
                <w:noProof/>
                <w:webHidden/>
              </w:rPr>
              <w:fldChar w:fldCharType="separate"/>
            </w:r>
            <w:r>
              <w:rPr>
                <w:noProof/>
                <w:webHidden/>
              </w:rPr>
              <w:t>26</w:t>
            </w:r>
            <w:r>
              <w:rPr>
                <w:noProof/>
                <w:webHidden/>
              </w:rPr>
              <w:fldChar w:fldCharType="end"/>
            </w:r>
          </w:hyperlink>
        </w:p>
        <w:p w14:paraId="09427672" w14:textId="7A8D62A5" w:rsidR="00AB4D4A" w:rsidRDefault="00AB4D4A">
          <w:pPr>
            <w:pStyle w:val="TOC1"/>
            <w:tabs>
              <w:tab w:val="left" w:pos="440"/>
              <w:tab w:val="right" w:leader="dot" w:pos="9348"/>
            </w:tabs>
            <w:rPr>
              <w:rFonts w:asciiTheme="minorHAnsi" w:eastAsiaTheme="minorEastAsia" w:hAnsiTheme="minorHAnsi" w:cstheme="minorBidi"/>
              <w:noProof/>
              <w:lang w:bidi="ar-SA"/>
            </w:rPr>
          </w:pPr>
          <w:hyperlink w:anchor="_Toc40092205" w:history="1">
            <w:r w:rsidRPr="00A036C7">
              <w:rPr>
                <w:rStyle w:val="Hyperlink"/>
                <w:noProof/>
              </w:rPr>
              <w:t>4.</w:t>
            </w:r>
            <w:r>
              <w:rPr>
                <w:rFonts w:asciiTheme="minorHAnsi" w:eastAsiaTheme="minorEastAsia" w:hAnsiTheme="minorHAnsi" w:cstheme="minorBidi"/>
                <w:noProof/>
                <w:lang w:bidi="ar-SA"/>
              </w:rPr>
              <w:tab/>
            </w:r>
            <w:r w:rsidRPr="00A036C7">
              <w:rPr>
                <w:rStyle w:val="Hyperlink"/>
                <w:noProof/>
              </w:rPr>
              <w:t>RESOURCES</w:t>
            </w:r>
            <w:r>
              <w:rPr>
                <w:noProof/>
                <w:webHidden/>
              </w:rPr>
              <w:tab/>
            </w:r>
            <w:r>
              <w:rPr>
                <w:noProof/>
                <w:webHidden/>
              </w:rPr>
              <w:fldChar w:fldCharType="begin"/>
            </w:r>
            <w:r>
              <w:rPr>
                <w:noProof/>
                <w:webHidden/>
              </w:rPr>
              <w:instrText xml:space="preserve"> PAGEREF _Toc40092205 \h </w:instrText>
            </w:r>
            <w:r>
              <w:rPr>
                <w:noProof/>
                <w:webHidden/>
              </w:rPr>
            </w:r>
            <w:r>
              <w:rPr>
                <w:noProof/>
                <w:webHidden/>
              </w:rPr>
              <w:fldChar w:fldCharType="separate"/>
            </w:r>
            <w:r>
              <w:rPr>
                <w:noProof/>
                <w:webHidden/>
              </w:rPr>
              <w:t>27</w:t>
            </w:r>
            <w:r>
              <w:rPr>
                <w:noProof/>
                <w:webHidden/>
              </w:rPr>
              <w:fldChar w:fldCharType="end"/>
            </w:r>
          </w:hyperlink>
        </w:p>
        <w:p w14:paraId="55C6B952" w14:textId="153BA21C" w:rsidR="00AB4D4A" w:rsidRDefault="00AB4D4A">
          <w:pPr>
            <w:pStyle w:val="TOC1"/>
            <w:tabs>
              <w:tab w:val="left" w:pos="660"/>
              <w:tab w:val="right" w:leader="dot" w:pos="9348"/>
            </w:tabs>
            <w:rPr>
              <w:rFonts w:asciiTheme="minorHAnsi" w:eastAsiaTheme="minorEastAsia" w:hAnsiTheme="minorHAnsi" w:cstheme="minorBidi"/>
              <w:noProof/>
              <w:lang w:bidi="ar-SA"/>
            </w:rPr>
          </w:pPr>
          <w:hyperlink w:anchor="_Toc40092206" w:history="1">
            <w:r w:rsidRPr="00A036C7">
              <w:rPr>
                <w:rStyle w:val="Hyperlink"/>
                <w:noProof/>
              </w:rPr>
              <w:t>4.1</w:t>
            </w:r>
            <w:r>
              <w:rPr>
                <w:rFonts w:asciiTheme="minorHAnsi" w:eastAsiaTheme="minorEastAsia" w:hAnsiTheme="minorHAnsi" w:cstheme="minorBidi"/>
                <w:noProof/>
                <w:lang w:bidi="ar-SA"/>
              </w:rPr>
              <w:tab/>
            </w:r>
            <w:r w:rsidRPr="00A036C7">
              <w:rPr>
                <w:rStyle w:val="Hyperlink"/>
                <w:noProof/>
              </w:rPr>
              <w:t>Financial resources</w:t>
            </w:r>
            <w:r>
              <w:rPr>
                <w:noProof/>
                <w:webHidden/>
              </w:rPr>
              <w:tab/>
            </w:r>
            <w:r>
              <w:rPr>
                <w:noProof/>
                <w:webHidden/>
              </w:rPr>
              <w:fldChar w:fldCharType="begin"/>
            </w:r>
            <w:r>
              <w:rPr>
                <w:noProof/>
                <w:webHidden/>
              </w:rPr>
              <w:instrText xml:space="preserve"> PAGEREF _Toc40092206 \h </w:instrText>
            </w:r>
            <w:r>
              <w:rPr>
                <w:noProof/>
                <w:webHidden/>
              </w:rPr>
            </w:r>
            <w:r>
              <w:rPr>
                <w:noProof/>
                <w:webHidden/>
              </w:rPr>
              <w:fldChar w:fldCharType="separate"/>
            </w:r>
            <w:r>
              <w:rPr>
                <w:noProof/>
                <w:webHidden/>
              </w:rPr>
              <w:t>27</w:t>
            </w:r>
            <w:r>
              <w:rPr>
                <w:noProof/>
                <w:webHidden/>
              </w:rPr>
              <w:fldChar w:fldCharType="end"/>
            </w:r>
          </w:hyperlink>
        </w:p>
        <w:p w14:paraId="43C06AB0" w14:textId="478AAD32" w:rsidR="00AB4D4A" w:rsidRDefault="00AB4D4A">
          <w:pPr>
            <w:pStyle w:val="TOC1"/>
            <w:tabs>
              <w:tab w:val="left" w:pos="660"/>
              <w:tab w:val="right" w:leader="dot" w:pos="9348"/>
            </w:tabs>
            <w:rPr>
              <w:rFonts w:asciiTheme="minorHAnsi" w:eastAsiaTheme="minorEastAsia" w:hAnsiTheme="minorHAnsi" w:cstheme="minorBidi"/>
              <w:noProof/>
              <w:lang w:bidi="ar-SA"/>
            </w:rPr>
          </w:pPr>
          <w:hyperlink w:anchor="_Toc40092207" w:history="1">
            <w:r w:rsidRPr="00A036C7">
              <w:rPr>
                <w:rStyle w:val="Hyperlink"/>
                <w:noProof/>
              </w:rPr>
              <w:t>4.2</w:t>
            </w:r>
            <w:r>
              <w:rPr>
                <w:rFonts w:asciiTheme="minorHAnsi" w:eastAsiaTheme="minorEastAsia" w:hAnsiTheme="minorHAnsi" w:cstheme="minorBidi"/>
                <w:noProof/>
                <w:lang w:bidi="ar-SA"/>
              </w:rPr>
              <w:tab/>
            </w:r>
            <w:r w:rsidRPr="00A036C7">
              <w:rPr>
                <w:rStyle w:val="Hyperlink"/>
                <w:noProof/>
              </w:rPr>
              <w:t>Human resources</w:t>
            </w:r>
            <w:r>
              <w:rPr>
                <w:noProof/>
                <w:webHidden/>
              </w:rPr>
              <w:tab/>
            </w:r>
            <w:r>
              <w:rPr>
                <w:noProof/>
                <w:webHidden/>
              </w:rPr>
              <w:fldChar w:fldCharType="begin"/>
            </w:r>
            <w:r>
              <w:rPr>
                <w:noProof/>
                <w:webHidden/>
              </w:rPr>
              <w:instrText xml:space="preserve"> PAGEREF _Toc40092207 \h </w:instrText>
            </w:r>
            <w:r>
              <w:rPr>
                <w:noProof/>
                <w:webHidden/>
              </w:rPr>
            </w:r>
            <w:r>
              <w:rPr>
                <w:noProof/>
                <w:webHidden/>
              </w:rPr>
              <w:fldChar w:fldCharType="separate"/>
            </w:r>
            <w:r>
              <w:rPr>
                <w:noProof/>
                <w:webHidden/>
              </w:rPr>
              <w:t>28</w:t>
            </w:r>
            <w:r>
              <w:rPr>
                <w:noProof/>
                <w:webHidden/>
              </w:rPr>
              <w:fldChar w:fldCharType="end"/>
            </w:r>
          </w:hyperlink>
        </w:p>
        <w:p w14:paraId="47C9AAFE" w14:textId="4526E762" w:rsidR="00AB4D4A" w:rsidRDefault="00AB4D4A">
          <w:pPr>
            <w:pStyle w:val="TOC1"/>
            <w:tabs>
              <w:tab w:val="left" w:pos="660"/>
              <w:tab w:val="right" w:leader="dot" w:pos="9348"/>
            </w:tabs>
            <w:rPr>
              <w:rFonts w:asciiTheme="minorHAnsi" w:eastAsiaTheme="minorEastAsia" w:hAnsiTheme="minorHAnsi" w:cstheme="minorBidi"/>
              <w:noProof/>
              <w:lang w:bidi="ar-SA"/>
            </w:rPr>
          </w:pPr>
          <w:hyperlink w:anchor="_Toc40092208" w:history="1">
            <w:r w:rsidRPr="00A036C7">
              <w:rPr>
                <w:rStyle w:val="Hyperlink"/>
                <w:noProof/>
              </w:rPr>
              <w:t>4.3</w:t>
            </w:r>
            <w:r>
              <w:rPr>
                <w:rFonts w:asciiTheme="minorHAnsi" w:eastAsiaTheme="minorEastAsia" w:hAnsiTheme="minorHAnsi" w:cstheme="minorBidi"/>
                <w:noProof/>
                <w:lang w:bidi="ar-SA"/>
              </w:rPr>
              <w:tab/>
            </w:r>
            <w:r w:rsidRPr="00A036C7">
              <w:rPr>
                <w:rStyle w:val="Hyperlink"/>
                <w:noProof/>
              </w:rPr>
              <w:t>ICT</w:t>
            </w:r>
            <w:r>
              <w:rPr>
                <w:noProof/>
                <w:webHidden/>
              </w:rPr>
              <w:tab/>
            </w:r>
            <w:r>
              <w:rPr>
                <w:noProof/>
                <w:webHidden/>
              </w:rPr>
              <w:fldChar w:fldCharType="begin"/>
            </w:r>
            <w:r>
              <w:rPr>
                <w:noProof/>
                <w:webHidden/>
              </w:rPr>
              <w:instrText xml:space="preserve"> PAGEREF _Toc40092208 \h </w:instrText>
            </w:r>
            <w:r>
              <w:rPr>
                <w:noProof/>
                <w:webHidden/>
              </w:rPr>
            </w:r>
            <w:r>
              <w:rPr>
                <w:noProof/>
                <w:webHidden/>
              </w:rPr>
              <w:fldChar w:fldCharType="separate"/>
            </w:r>
            <w:r>
              <w:rPr>
                <w:noProof/>
                <w:webHidden/>
              </w:rPr>
              <w:t>29</w:t>
            </w:r>
            <w:r>
              <w:rPr>
                <w:noProof/>
                <w:webHidden/>
              </w:rPr>
              <w:fldChar w:fldCharType="end"/>
            </w:r>
          </w:hyperlink>
        </w:p>
        <w:p w14:paraId="5E795A6F" w14:textId="4073549D" w:rsidR="00DD09EB" w:rsidRPr="00CD4F28" w:rsidRDefault="00DD09EB" w:rsidP="00A73694">
          <w:pPr>
            <w:rPr>
              <w:rFonts w:ascii="Arial" w:hAnsi="Arial" w:cs="Arial"/>
              <w:sz w:val="24"/>
              <w:szCs w:val="24"/>
            </w:rPr>
          </w:pPr>
          <w:r w:rsidRPr="00CD4F28">
            <w:rPr>
              <w:rFonts w:ascii="Arial" w:hAnsi="Arial" w:cs="Arial"/>
              <w:b/>
              <w:bCs/>
              <w:noProof/>
              <w:sz w:val="24"/>
              <w:szCs w:val="24"/>
            </w:rPr>
            <w:fldChar w:fldCharType="end"/>
          </w:r>
        </w:p>
      </w:sdtContent>
    </w:sdt>
    <w:p w14:paraId="43F52F85" w14:textId="26670588" w:rsidR="008F16FE" w:rsidRPr="00CD4F28" w:rsidRDefault="008F16FE" w:rsidP="00A73694">
      <w:pPr>
        <w:rPr>
          <w:rFonts w:ascii="Arial" w:hAnsi="Arial" w:cs="Arial"/>
          <w:sz w:val="24"/>
          <w:szCs w:val="24"/>
          <w:lang w:val="en-IE"/>
        </w:rPr>
      </w:pPr>
      <w:r w:rsidRPr="00CD4F28">
        <w:rPr>
          <w:rFonts w:ascii="Arial" w:hAnsi="Arial" w:cs="Arial"/>
          <w:sz w:val="24"/>
          <w:szCs w:val="24"/>
          <w:lang w:val="en-IE"/>
        </w:rPr>
        <w:br w:type="page"/>
      </w:r>
    </w:p>
    <w:p w14:paraId="594BFD55" w14:textId="3CBF0957" w:rsidR="008F16FE" w:rsidRPr="00CD4F28" w:rsidRDefault="007A386A" w:rsidP="00A73694">
      <w:pPr>
        <w:rPr>
          <w:rFonts w:ascii="Arial" w:hAnsi="Arial" w:cs="Arial"/>
          <w:sz w:val="24"/>
          <w:szCs w:val="24"/>
          <w:lang w:val="en-IE"/>
        </w:rPr>
      </w:pPr>
      <w:r w:rsidRPr="00CD4F28">
        <w:rPr>
          <w:rFonts w:ascii="Arial" w:hAnsi="Arial" w:cs="Arial"/>
          <w:noProof/>
          <w:sz w:val="24"/>
          <w:szCs w:val="24"/>
          <w:lang w:bidi="ar-SA"/>
        </w:rPr>
        <w:lastRenderedPageBreak/>
        <w:drawing>
          <wp:anchor distT="0" distB="0" distL="114300" distR="114300" simplePos="0" relativeHeight="251669504" behindDoc="0" locked="0" layoutInCell="1" allowOverlap="1" wp14:anchorId="4CF50C7D" wp14:editId="39476956">
            <wp:simplePos x="0" y="0"/>
            <wp:positionH relativeFrom="margin">
              <wp:posOffset>2195195</wp:posOffset>
            </wp:positionH>
            <wp:positionV relativeFrom="margin">
              <wp:posOffset>-277792</wp:posOffset>
            </wp:positionV>
            <wp:extent cx="1828800" cy="675640"/>
            <wp:effectExtent l="0" t="0" r="0" b="0"/>
            <wp:wrapSquare wrapText="bothSides"/>
            <wp:docPr id="3" name="Picture 3" descr="Headletter_E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letter_EL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anchor>
        </w:drawing>
      </w:r>
    </w:p>
    <w:p w14:paraId="06FDC14A" w14:textId="34FF4B7C" w:rsidR="0025351F" w:rsidRPr="00CD4F28" w:rsidRDefault="0025351F" w:rsidP="00A73694">
      <w:pPr>
        <w:pStyle w:val="BodyText"/>
        <w:tabs>
          <w:tab w:val="left" w:pos="0"/>
        </w:tabs>
        <w:rPr>
          <w:rFonts w:ascii="Arial" w:hAnsi="Arial" w:cs="Arial"/>
          <w:sz w:val="18"/>
          <w:szCs w:val="24"/>
          <w:lang w:val="en-IE"/>
        </w:rPr>
      </w:pPr>
    </w:p>
    <w:p w14:paraId="40FF9A8E" w14:textId="77777777" w:rsidR="007A386A" w:rsidRPr="00CD4F28" w:rsidRDefault="007A386A" w:rsidP="00A73694">
      <w:pPr>
        <w:pStyle w:val="BodyText"/>
        <w:tabs>
          <w:tab w:val="left" w:pos="0"/>
        </w:tabs>
        <w:rPr>
          <w:rFonts w:ascii="Arial" w:hAnsi="Arial" w:cs="Arial"/>
          <w:sz w:val="18"/>
          <w:szCs w:val="24"/>
          <w:lang w:val="en-IE"/>
        </w:rPr>
      </w:pPr>
    </w:p>
    <w:p w14:paraId="4FECF572" w14:textId="7204A72D" w:rsidR="0025351F" w:rsidRPr="00CD4F28" w:rsidRDefault="006413F6" w:rsidP="00A73694">
      <w:pPr>
        <w:pStyle w:val="Heading1"/>
      </w:pPr>
      <w:bookmarkStart w:id="2" w:name="_Toc40092186"/>
      <w:r w:rsidRPr="00CD4F28">
        <w:t>Introduction</w:t>
      </w:r>
      <w:bookmarkEnd w:id="2"/>
    </w:p>
    <w:p w14:paraId="56357CBD" w14:textId="77777777" w:rsidR="00A73B46" w:rsidRPr="00CD4F28" w:rsidRDefault="00A73B46" w:rsidP="00A73694">
      <w:pPr>
        <w:pStyle w:val="BodyText"/>
        <w:tabs>
          <w:tab w:val="left" w:pos="0"/>
        </w:tabs>
        <w:spacing w:line="276" w:lineRule="auto"/>
        <w:rPr>
          <w:rFonts w:ascii="Arial" w:hAnsi="Arial" w:cs="Arial"/>
          <w:b/>
          <w:szCs w:val="24"/>
          <w:lang w:val="en-IE"/>
        </w:rPr>
      </w:pPr>
    </w:p>
    <w:p w14:paraId="5BF075B3" w14:textId="6FA8EF10" w:rsidR="000E6AF6" w:rsidRPr="00CD4F28" w:rsidRDefault="000E6AF6"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The year 2020 will be the first full year of activity for the European Labour Authority.</w:t>
      </w:r>
      <w:r w:rsidR="009D1BD1" w:rsidRPr="00CD4F28">
        <w:rPr>
          <w:rFonts w:ascii="Arial" w:hAnsi="Arial" w:cs="Arial"/>
          <w:sz w:val="24"/>
          <w:szCs w:val="24"/>
          <w:lang w:val="en-IE"/>
        </w:rPr>
        <w:t xml:space="preserve"> T</w:t>
      </w:r>
      <w:r w:rsidRPr="00CD4F28">
        <w:rPr>
          <w:rFonts w:ascii="Arial" w:hAnsi="Arial" w:cs="Arial"/>
          <w:sz w:val="24"/>
          <w:szCs w:val="24"/>
          <w:lang w:val="en-IE"/>
        </w:rPr>
        <w:t xml:space="preserve">he Authority will initiate the rollout of operational tasks established by Regulation (EU) 2019/1149 (‘the Regulation’), building on the foundations set in </w:t>
      </w:r>
      <w:r w:rsidR="009D1BD1" w:rsidRPr="00CD4F28">
        <w:rPr>
          <w:rFonts w:ascii="Arial" w:hAnsi="Arial" w:cs="Arial"/>
          <w:sz w:val="24"/>
          <w:szCs w:val="24"/>
          <w:lang w:val="en-IE"/>
        </w:rPr>
        <w:t>2019, whilst strengthening in parallel its administrative and management structure and expanding its human and financial resources</w:t>
      </w:r>
      <w:r w:rsidR="002711F2" w:rsidRPr="00CD4F28">
        <w:rPr>
          <w:rFonts w:ascii="Arial" w:hAnsi="Arial" w:cs="Arial"/>
          <w:sz w:val="24"/>
          <w:szCs w:val="24"/>
          <w:lang w:val="en-IE"/>
        </w:rPr>
        <w:t>.</w:t>
      </w:r>
    </w:p>
    <w:p w14:paraId="4F150804" w14:textId="4B42E6DA" w:rsidR="00167976" w:rsidRPr="00CD4F28" w:rsidRDefault="00167976"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The Authority has given itself </w:t>
      </w:r>
      <w:r w:rsidR="0050302E" w:rsidRPr="00CD4F28">
        <w:rPr>
          <w:rFonts w:ascii="Arial" w:hAnsi="Arial" w:cs="Arial"/>
          <w:sz w:val="24"/>
          <w:szCs w:val="24"/>
          <w:lang w:val="en-IE"/>
        </w:rPr>
        <w:t xml:space="preserve">an ambitious and realistic </w:t>
      </w:r>
      <w:r w:rsidR="00611200" w:rsidRPr="00CD4F28">
        <w:rPr>
          <w:rFonts w:ascii="Arial" w:hAnsi="Arial" w:cs="Arial"/>
          <w:sz w:val="24"/>
          <w:szCs w:val="24"/>
          <w:lang w:val="en-IE"/>
        </w:rPr>
        <w:t>programme</w:t>
      </w:r>
      <w:r w:rsidR="0050302E" w:rsidRPr="00CD4F28">
        <w:rPr>
          <w:rFonts w:ascii="Arial" w:hAnsi="Arial" w:cs="Arial"/>
          <w:sz w:val="24"/>
          <w:szCs w:val="24"/>
          <w:lang w:val="en-IE"/>
        </w:rPr>
        <w:t>. It is ambitious because it addresses priority challenges in the labour mobility area by setting up processes and tools that will form the backbone of operations for the coming years. It is realistic because it takes a gradual approach based on the available resources for the year 2020</w:t>
      </w:r>
      <w:r w:rsidR="00C11B85" w:rsidRPr="00CD4F28">
        <w:rPr>
          <w:rFonts w:ascii="Arial" w:hAnsi="Arial" w:cs="Arial"/>
          <w:sz w:val="24"/>
          <w:szCs w:val="24"/>
          <w:lang w:val="en-IE"/>
        </w:rPr>
        <w:t>:</w:t>
      </w:r>
      <w:r w:rsidR="0050302E" w:rsidRPr="00CD4F28">
        <w:rPr>
          <w:rFonts w:ascii="Arial" w:hAnsi="Arial" w:cs="Arial"/>
          <w:sz w:val="24"/>
          <w:szCs w:val="24"/>
          <w:lang w:val="en-IE"/>
        </w:rPr>
        <w:t xml:space="preserve"> a budget of EUR 15.6 million and a recruitment process reaching 66 staff</w:t>
      </w:r>
      <w:r w:rsidRPr="00CD4F28">
        <w:rPr>
          <w:rFonts w:ascii="Arial" w:hAnsi="Arial" w:cs="Arial"/>
          <w:sz w:val="24"/>
          <w:szCs w:val="24"/>
          <w:lang w:val="en-IE"/>
        </w:rPr>
        <w:t xml:space="preserve"> by</w:t>
      </w:r>
      <w:r w:rsidR="0050302E" w:rsidRPr="00CD4F28">
        <w:rPr>
          <w:rFonts w:ascii="Arial" w:hAnsi="Arial" w:cs="Arial"/>
          <w:sz w:val="24"/>
          <w:szCs w:val="24"/>
          <w:lang w:val="en-IE"/>
        </w:rPr>
        <w:t xml:space="preserve"> the end of the year, including National Liaison Officers.</w:t>
      </w:r>
    </w:p>
    <w:p w14:paraId="57C8AFA3" w14:textId="5F711639" w:rsidR="000C69A5" w:rsidRPr="00CD4F28" w:rsidRDefault="00167976"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This</w:t>
      </w:r>
      <w:r w:rsidR="0050302E" w:rsidRPr="00CD4F28">
        <w:rPr>
          <w:rFonts w:ascii="Arial" w:hAnsi="Arial" w:cs="Arial"/>
          <w:sz w:val="24"/>
          <w:szCs w:val="24"/>
          <w:lang w:val="en-IE"/>
        </w:rPr>
        <w:t xml:space="preserve"> Work Programme lays down a set of operational actions aimed at delivering on the </w:t>
      </w:r>
      <w:r w:rsidR="00C11B85" w:rsidRPr="00CD4F28">
        <w:rPr>
          <w:rFonts w:ascii="Arial" w:hAnsi="Arial" w:cs="Arial"/>
          <w:sz w:val="24"/>
          <w:szCs w:val="24"/>
          <w:lang w:val="en-IE"/>
        </w:rPr>
        <w:t>ambitions underpinning the creation of</w:t>
      </w:r>
      <w:r w:rsidR="0050302E" w:rsidRPr="00CD4F28">
        <w:rPr>
          <w:rFonts w:ascii="Arial" w:hAnsi="Arial" w:cs="Arial"/>
          <w:sz w:val="24"/>
          <w:szCs w:val="24"/>
          <w:lang w:val="en-IE"/>
        </w:rPr>
        <w:t xml:space="preserve"> the </w:t>
      </w:r>
      <w:r w:rsidR="00C11B85" w:rsidRPr="00CD4F28">
        <w:rPr>
          <w:rFonts w:ascii="Arial" w:hAnsi="Arial" w:cs="Arial"/>
          <w:sz w:val="24"/>
          <w:szCs w:val="24"/>
          <w:lang w:val="en-IE"/>
        </w:rPr>
        <w:t>Authority</w:t>
      </w:r>
      <w:r w:rsidR="0050302E" w:rsidRPr="00CD4F28">
        <w:rPr>
          <w:rFonts w:ascii="Arial" w:hAnsi="Arial" w:cs="Arial"/>
          <w:sz w:val="24"/>
          <w:szCs w:val="24"/>
          <w:lang w:val="en-IE"/>
        </w:rPr>
        <w:t xml:space="preserve">. </w:t>
      </w:r>
      <w:r w:rsidR="007E3FE1" w:rsidRPr="00CD4F28">
        <w:rPr>
          <w:rFonts w:ascii="Arial" w:hAnsi="Arial" w:cs="Arial"/>
          <w:sz w:val="24"/>
          <w:szCs w:val="24"/>
          <w:lang w:val="en-IE"/>
        </w:rPr>
        <w:t>Amongst the</w:t>
      </w:r>
      <w:r w:rsidR="00A47446" w:rsidRPr="00CD4F28">
        <w:rPr>
          <w:rFonts w:ascii="Arial" w:hAnsi="Arial" w:cs="Arial"/>
          <w:sz w:val="24"/>
          <w:szCs w:val="24"/>
          <w:lang w:val="en-IE"/>
        </w:rPr>
        <w:t xml:space="preserve"> operational activities launched in 2020</w:t>
      </w:r>
      <w:r w:rsidR="007E3FE1" w:rsidRPr="00CD4F28">
        <w:rPr>
          <w:rFonts w:ascii="Arial" w:hAnsi="Arial" w:cs="Arial"/>
          <w:sz w:val="24"/>
          <w:szCs w:val="24"/>
          <w:lang w:val="en-IE"/>
        </w:rPr>
        <w:t xml:space="preserve">, two will feature </w:t>
      </w:r>
      <w:r w:rsidR="00A02018" w:rsidRPr="00CD4F28">
        <w:rPr>
          <w:rFonts w:ascii="Arial" w:hAnsi="Arial" w:cs="Arial"/>
          <w:sz w:val="24"/>
          <w:szCs w:val="24"/>
          <w:lang w:val="en-IE"/>
        </w:rPr>
        <w:t xml:space="preserve">as </w:t>
      </w:r>
      <w:r w:rsidR="007E3FE1" w:rsidRPr="00CD4F28">
        <w:rPr>
          <w:rFonts w:ascii="Arial" w:hAnsi="Arial" w:cs="Arial"/>
          <w:sz w:val="24"/>
          <w:szCs w:val="24"/>
          <w:lang w:val="en-IE"/>
        </w:rPr>
        <w:t xml:space="preserve">priorities, namely: </w:t>
      </w:r>
      <w:r w:rsidR="000C69A5" w:rsidRPr="00CD4F28">
        <w:rPr>
          <w:rFonts w:ascii="Arial" w:hAnsi="Arial" w:cs="Arial"/>
          <w:sz w:val="24"/>
          <w:szCs w:val="24"/>
          <w:lang w:val="en-IE"/>
        </w:rPr>
        <w:t xml:space="preserve">the support to citizens and employers to understand their rights and obligations related to labour mobility rules; </w:t>
      </w:r>
      <w:r w:rsidR="00FF167A" w:rsidRPr="00CD4F28">
        <w:rPr>
          <w:rFonts w:ascii="Arial" w:hAnsi="Arial" w:cs="Arial"/>
          <w:sz w:val="24"/>
          <w:szCs w:val="24"/>
          <w:lang w:val="en-IE"/>
        </w:rPr>
        <w:t xml:space="preserve">and </w:t>
      </w:r>
      <w:r w:rsidR="000C69A5" w:rsidRPr="00CD4F28">
        <w:rPr>
          <w:rFonts w:ascii="Arial" w:hAnsi="Arial" w:cs="Arial"/>
          <w:sz w:val="24"/>
          <w:szCs w:val="24"/>
          <w:lang w:val="en-IE"/>
        </w:rPr>
        <w:t xml:space="preserve">supporting the enforcement of these rules.  </w:t>
      </w:r>
    </w:p>
    <w:p w14:paraId="27A6484B" w14:textId="5CD97026" w:rsidR="00A10450" w:rsidRPr="00CD4F28" w:rsidRDefault="00E46A59"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The </w:t>
      </w:r>
      <w:r w:rsidR="00A36998" w:rsidRPr="00CD4F28">
        <w:rPr>
          <w:rFonts w:ascii="Arial" w:hAnsi="Arial" w:cs="Arial"/>
          <w:sz w:val="24"/>
          <w:szCs w:val="24"/>
          <w:lang w:val="en-IE"/>
        </w:rPr>
        <w:t>W</w:t>
      </w:r>
      <w:r w:rsidRPr="00CD4F28">
        <w:rPr>
          <w:rFonts w:ascii="Arial" w:hAnsi="Arial" w:cs="Arial"/>
          <w:sz w:val="24"/>
          <w:szCs w:val="24"/>
          <w:lang w:val="en-IE"/>
        </w:rPr>
        <w:t xml:space="preserve">ork </w:t>
      </w:r>
      <w:r w:rsidR="00A36998" w:rsidRPr="00CD4F28">
        <w:rPr>
          <w:rFonts w:ascii="Arial" w:hAnsi="Arial" w:cs="Arial"/>
          <w:sz w:val="24"/>
          <w:szCs w:val="24"/>
          <w:lang w:val="en-IE"/>
        </w:rPr>
        <w:t>P</w:t>
      </w:r>
      <w:r w:rsidRPr="00CD4F28">
        <w:rPr>
          <w:rFonts w:ascii="Arial" w:hAnsi="Arial" w:cs="Arial"/>
          <w:sz w:val="24"/>
          <w:szCs w:val="24"/>
          <w:lang w:val="en-IE"/>
        </w:rPr>
        <w:t xml:space="preserve">rogramme also foresees a number of preparatory actions spanning over the </w:t>
      </w:r>
      <w:r w:rsidR="00A47446" w:rsidRPr="00CD4F28">
        <w:rPr>
          <w:rFonts w:ascii="Arial" w:hAnsi="Arial" w:cs="Arial"/>
          <w:sz w:val="24"/>
          <w:szCs w:val="24"/>
          <w:lang w:val="en-IE"/>
        </w:rPr>
        <w:t xml:space="preserve">full </w:t>
      </w:r>
      <w:r w:rsidRPr="00CD4F28">
        <w:rPr>
          <w:rFonts w:ascii="Arial" w:hAnsi="Arial" w:cs="Arial"/>
          <w:sz w:val="24"/>
          <w:szCs w:val="24"/>
          <w:lang w:val="en-IE"/>
        </w:rPr>
        <w:t>range of tasks cov</w:t>
      </w:r>
      <w:r w:rsidR="007A386A" w:rsidRPr="00CD4F28">
        <w:rPr>
          <w:rFonts w:ascii="Arial" w:hAnsi="Arial" w:cs="Arial"/>
          <w:sz w:val="24"/>
          <w:szCs w:val="24"/>
          <w:lang w:val="en-IE"/>
        </w:rPr>
        <w:t>ered by the Regulation. Indeed, t</w:t>
      </w:r>
      <w:r w:rsidR="008F2A9E" w:rsidRPr="00CD4F28">
        <w:rPr>
          <w:rFonts w:ascii="Arial" w:hAnsi="Arial" w:cs="Arial"/>
          <w:sz w:val="24"/>
          <w:szCs w:val="24"/>
          <w:lang w:val="en-IE"/>
        </w:rPr>
        <w:t>h</w:t>
      </w:r>
      <w:r w:rsidR="00A10450" w:rsidRPr="00CD4F28">
        <w:rPr>
          <w:rFonts w:ascii="Arial" w:hAnsi="Arial" w:cs="Arial"/>
          <w:sz w:val="24"/>
          <w:szCs w:val="24"/>
          <w:lang w:val="en-IE"/>
        </w:rPr>
        <w:t xml:space="preserve">e Authority’s </w:t>
      </w:r>
      <w:r w:rsidR="008F2A9E" w:rsidRPr="00CD4F28">
        <w:rPr>
          <w:rFonts w:ascii="Arial" w:hAnsi="Arial" w:cs="Arial"/>
          <w:sz w:val="24"/>
          <w:szCs w:val="24"/>
          <w:lang w:val="en-IE"/>
        </w:rPr>
        <w:t xml:space="preserve">seven </w:t>
      </w:r>
      <w:r w:rsidR="00A10450" w:rsidRPr="00CD4F28">
        <w:rPr>
          <w:rFonts w:ascii="Arial" w:hAnsi="Arial" w:cs="Arial"/>
          <w:sz w:val="24"/>
          <w:szCs w:val="24"/>
          <w:lang w:val="en-IE"/>
        </w:rPr>
        <w:t>tasks</w:t>
      </w:r>
      <w:r w:rsidR="008F2A9E" w:rsidRPr="00CD4F28">
        <w:rPr>
          <w:rFonts w:ascii="Arial" w:hAnsi="Arial" w:cs="Arial"/>
          <w:sz w:val="24"/>
          <w:szCs w:val="24"/>
          <w:lang w:val="en-IE"/>
        </w:rPr>
        <w:t xml:space="preserve"> are intertwined, acting either as a premise or follow-up to another task. Risk assessments are essential for the planning of concerted and joint inspect</w:t>
      </w:r>
      <w:r w:rsidR="007A386A" w:rsidRPr="00CD4F28">
        <w:rPr>
          <w:rFonts w:ascii="Arial" w:hAnsi="Arial" w:cs="Arial"/>
          <w:sz w:val="24"/>
          <w:szCs w:val="24"/>
          <w:lang w:val="en-IE"/>
        </w:rPr>
        <w:t>ions whilst</w:t>
      </w:r>
      <w:r w:rsidR="008F2A9E" w:rsidRPr="00CD4F28">
        <w:rPr>
          <w:rFonts w:ascii="Arial" w:hAnsi="Arial" w:cs="Arial"/>
          <w:sz w:val="24"/>
          <w:szCs w:val="24"/>
          <w:lang w:val="en-IE"/>
        </w:rPr>
        <w:t xml:space="preserve"> the campaign on “Declared Work” will contribute to the Authority’s goal of preventing fraud</w:t>
      </w:r>
      <w:r w:rsidR="007A386A" w:rsidRPr="00CD4F28">
        <w:rPr>
          <w:rFonts w:ascii="Arial" w:hAnsi="Arial" w:cs="Arial"/>
          <w:sz w:val="24"/>
          <w:szCs w:val="24"/>
          <w:lang w:val="en-IE"/>
        </w:rPr>
        <w:t xml:space="preserve"> and</w:t>
      </w:r>
      <w:r w:rsidR="008F2A9E" w:rsidRPr="00CD4F28">
        <w:rPr>
          <w:rFonts w:ascii="Arial" w:hAnsi="Arial" w:cs="Arial"/>
          <w:sz w:val="24"/>
          <w:szCs w:val="24"/>
          <w:lang w:val="en-IE"/>
        </w:rPr>
        <w:t xml:space="preserve"> promot</w:t>
      </w:r>
      <w:r w:rsidR="007A386A" w:rsidRPr="00CD4F28">
        <w:rPr>
          <w:rFonts w:ascii="Arial" w:hAnsi="Arial" w:cs="Arial"/>
          <w:sz w:val="24"/>
          <w:szCs w:val="24"/>
          <w:lang w:val="en-IE"/>
        </w:rPr>
        <w:t>e</w:t>
      </w:r>
      <w:r w:rsidR="008F2A9E" w:rsidRPr="00CD4F28">
        <w:rPr>
          <w:rFonts w:ascii="Arial" w:hAnsi="Arial" w:cs="Arial"/>
          <w:sz w:val="24"/>
          <w:szCs w:val="24"/>
          <w:lang w:val="en-IE"/>
        </w:rPr>
        <w:t xml:space="preserve"> the Authority among relevant stakeholders and target groups. </w:t>
      </w:r>
      <w:r w:rsidR="007A386A" w:rsidRPr="00CD4F28">
        <w:rPr>
          <w:rFonts w:ascii="Arial" w:hAnsi="Arial" w:cs="Arial"/>
          <w:sz w:val="24"/>
          <w:szCs w:val="24"/>
          <w:lang w:val="en-IE"/>
        </w:rPr>
        <w:t xml:space="preserve">Overall, the Work Programme sets strong foundations for the rollout of all the operational tasks in the coming years and anticipates the smooth transition of the activities to be transferred from other bodies to the Authority by 2021 </w:t>
      </w:r>
      <w:r w:rsidR="00A10450" w:rsidRPr="00CD4F28">
        <w:rPr>
          <w:rFonts w:ascii="Arial" w:hAnsi="Arial" w:cs="Arial"/>
          <w:sz w:val="24"/>
          <w:szCs w:val="24"/>
          <w:lang w:val="en-IE"/>
        </w:rPr>
        <w:t>(e.g. the European Platform tackling undeclared work, the work of</w:t>
      </w:r>
      <w:r w:rsidR="007A386A" w:rsidRPr="00CD4F28">
        <w:rPr>
          <w:rFonts w:ascii="Arial" w:hAnsi="Arial" w:cs="Arial"/>
          <w:sz w:val="24"/>
          <w:szCs w:val="24"/>
          <w:lang w:val="en-IE"/>
        </w:rPr>
        <w:t xml:space="preserve"> the EURES Coordination Office).</w:t>
      </w:r>
    </w:p>
    <w:p w14:paraId="0001723D" w14:textId="301E23CB" w:rsidR="0022459E" w:rsidRPr="00CD4F28" w:rsidRDefault="007C4862"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The Work Programme also includes several actions aimed at </w:t>
      </w:r>
      <w:r w:rsidR="0022459E" w:rsidRPr="00CD4F28">
        <w:rPr>
          <w:rFonts w:ascii="Arial" w:hAnsi="Arial" w:cs="Arial"/>
          <w:sz w:val="24"/>
          <w:szCs w:val="24"/>
          <w:lang w:val="en-IE"/>
        </w:rPr>
        <w:t>welcoming and introducing the new</w:t>
      </w:r>
      <w:r w:rsidR="003031BF" w:rsidRPr="00CD4F28">
        <w:rPr>
          <w:rFonts w:ascii="Arial" w:hAnsi="Arial" w:cs="Arial"/>
          <w:sz w:val="24"/>
          <w:szCs w:val="24"/>
          <w:lang w:val="en-IE"/>
        </w:rPr>
        <w:t>ly recruited</w:t>
      </w:r>
      <w:r w:rsidR="0022459E" w:rsidRPr="00CD4F28">
        <w:rPr>
          <w:rFonts w:ascii="Arial" w:hAnsi="Arial" w:cs="Arial"/>
          <w:sz w:val="24"/>
          <w:szCs w:val="24"/>
          <w:lang w:val="en-IE"/>
        </w:rPr>
        <w:t xml:space="preserve"> staff to the Authority, in order to ensure they can work at full capacity as soon as possible. For example, the integration of all incoming staff, including of National Liaison Officers, will be prepared </w:t>
      </w:r>
      <w:r w:rsidR="003031BF" w:rsidRPr="00CD4F28">
        <w:rPr>
          <w:rFonts w:ascii="Arial" w:hAnsi="Arial" w:cs="Arial"/>
          <w:sz w:val="24"/>
          <w:szCs w:val="24"/>
          <w:lang w:val="en-IE"/>
        </w:rPr>
        <w:t xml:space="preserve">and supported </w:t>
      </w:r>
      <w:r w:rsidR="0022459E" w:rsidRPr="00CD4F28">
        <w:rPr>
          <w:rFonts w:ascii="Arial" w:hAnsi="Arial" w:cs="Arial"/>
          <w:sz w:val="24"/>
          <w:szCs w:val="24"/>
          <w:lang w:val="en-IE"/>
        </w:rPr>
        <w:t>through an offer of training and networking activities.</w:t>
      </w:r>
    </w:p>
    <w:p w14:paraId="214DE6E6" w14:textId="04272A7F" w:rsidR="00A73B46" w:rsidRPr="00CD4F28" w:rsidRDefault="00BB0993"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The Authority will also kick-start cooperation with the other EU Agencies and bodies relevant to its work.</w:t>
      </w:r>
    </w:p>
    <w:p w14:paraId="012B2730" w14:textId="414ACCE2" w:rsidR="007A386A" w:rsidRPr="00CD4F28" w:rsidRDefault="007B30EE" w:rsidP="00CD4F28">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The implementation of this Work Programme will give way to the preparation of an ambitious and </w:t>
      </w:r>
      <w:r w:rsidR="000E089E" w:rsidRPr="00CD4F28">
        <w:rPr>
          <w:rFonts w:ascii="Arial" w:hAnsi="Arial" w:cs="Arial"/>
          <w:sz w:val="24"/>
          <w:szCs w:val="24"/>
          <w:lang w:val="en-IE"/>
        </w:rPr>
        <w:t>forward</w:t>
      </w:r>
      <w:r w:rsidRPr="00CD4F28">
        <w:rPr>
          <w:rFonts w:ascii="Arial" w:hAnsi="Arial" w:cs="Arial"/>
          <w:sz w:val="24"/>
          <w:szCs w:val="24"/>
          <w:lang w:val="en-IE"/>
        </w:rPr>
        <w:t xml:space="preserve">-looking Single Programming Document </w:t>
      </w:r>
      <w:r w:rsidR="00892768" w:rsidRPr="00CD4F28">
        <w:rPr>
          <w:rFonts w:ascii="Arial" w:hAnsi="Arial" w:cs="Arial"/>
          <w:sz w:val="24"/>
          <w:szCs w:val="24"/>
          <w:lang w:val="en-IE"/>
        </w:rPr>
        <w:t xml:space="preserve">framing </w:t>
      </w:r>
      <w:r w:rsidRPr="00CD4F28">
        <w:rPr>
          <w:rFonts w:ascii="Arial" w:hAnsi="Arial" w:cs="Arial"/>
          <w:sz w:val="24"/>
          <w:szCs w:val="24"/>
          <w:lang w:val="en-IE"/>
        </w:rPr>
        <w:t xml:space="preserve">the </w:t>
      </w:r>
      <w:r w:rsidR="0050302E" w:rsidRPr="00CD4F28">
        <w:rPr>
          <w:rFonts w:ascii="Arial" w:hAnsi="Arial" w:cs="Arial"/>
          <w:sz w:val="24"/>
          <w:szCs w:val="24"/>
          <w:lang w:val="en-IE"/>
        </w:rPr>
        <w:t>consecutive programming period</w:t>
      </w:r>
      <w:r w:rsidRPr="00CD4F28">
        <w:rPr>
          <w:rFonts w:ascii="Arial" w:hAnsi="Arial" w:cs="Arial"/>
          <w:sz w:val="24"/>
          <w:szCs w:val="24"/>
          <w:lang w:val="en-IE"/>
        </w:rPr>
        <w:t xml:space="preserve">, which will be </w:t>
      </w:r>
      <w:r w:rsidR="00892768" w:rsidRPr="00CD4F28">
        <w:rPr>
          <w:rFonts w:ascii="Arial" w:hAnsi="Arial" w:cs="Arial"/>
          <w:sz w:val="24"/>
          <w:szCs w:val="24"/>
          <w:lang w:val="en-IE"/>
        </w:rPr>
        <w:t xml:space="preserve">prepared </w:t>
      </w:r>
      <w:r w:rsidR="0050302E" w:rsidRPr="00CD4F28">
        <w:rPr>
          <w:rFonts w:ascii="Arial" w:hAnsi="Arial" w:cs="Arial"/>
          <w:sz w:val="24"/>
          <w:szCs w:val="24"/>
          <w:lang w:val="en-IE"/>
        </w:rPr>
        <w:t>over the course of 2020.</w:t>
      </w:r>
      <w:r w:rsidR="00E227AE" w:rsidRPr="00CD4F28">
        <w:rPr>
          <w:rFonts w:ascii="Arial" w:hAnsi="Arial" w:cs="Arial"/>
          <w:sz w:val="24"/>
          <w:szCs w:val="24"/>
          <w:lang w:val="en-IE"/>
        </w:rPr>
        <w:t xml:space="preserve"> </w:t>
      </w:r>
      <w:bookmarkStart w:id="3" w:name="_Toc23423340"/>
      <w:bookmarkStart w:id="4" w:name="_Toc23425443"/>
      <w:r w:rsidR="007A386A" w:rsidRPr="00CD4F28">
        <w:rPr>
          <w:rFonts w:ascii="Arial" w:hAnsi="Arial" w:cs="Arial"/>
          <w:sz w:val="24"/>
          <w:szCs w:val="24"/>
          <w:lang w:val="en-IE"/>
        </w:rPr>
        <w:br w:type="page"/>
      </w:r>
    </w:p>
    <w:p w14:paraId="76222678" w14:textId="2C883A23" w:rsidR="00A73B46" w:rsidRPr="00CD4F28" w:rsidRDefault="00A73B46" w:rsidP="00A73694">
      <w:pPr>
        <w:pStyle w:val="Heading1"/>
      </w:pPr>
      <w:bookmarkStart w:id="5" w:name="_Toc40092187"/>
      <w:r w:rsidRPr="00CD4F28">
        <w:lastRenderedPageBreak/>
        <w:t>Mission Statement</w:t>
      </w:r>
      <w:bookmarkEnd w:id="3"/>
      <w:bookmarkEnd w:id="4"/>
      <w:bookmarkEnd w:id="5"/>
    </w:p>
    <w:p w14:paraId="511B8416" w14:textId="77777777" w:rsidR="009F5C32" w:rsidRPr="00CD4F28" w:rsidRDefault="009F5C32" w:rsidP="00A73694">
      <w:pPr>
        <w:pStyle w:val="BodyText"/>
        <w:tabs>
          <w:tab w:val="left" w:pos="0"/>
        </w:tabs>
        <w:spacing w:line="276" w:lineRule="auto"/>
        <w:ind w:right="283"/>
        <w:rPr>
          <w:rFonts w:ascii="Arial" w:hAnsi="Arial" w:cs="Arial"/>
          <w:b/>
          <w:sz w:val="24"/>
          <w:szCs w:val="24"/>
          <w:lang w:val="en-IE"/>
        </w:rPr>
      </w:pPr>
    </w:p>
    <w:p w14:paraId="48C760BB" w14:textId="4D6D0FF6" w:rsidR="00A73B46" w:rsidRPr="00CD4F28" w:rsidRDefault="00A73B46"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European Labour Authority (</w:t>
      </w:r>
      <w:r w:rsidR="00261757" w:rsidRPr="00CD4F28">
        <w:rPr>
          <w:rFonts w:ascii="Arial" w:hAnsi="Arial" w:cs="Arial"/>
          <w:sz w:val="24"/>
          <w:szCs w:val="24"/>
          <w:lang w:val="en-IE"/>
        </w:rPr>
        <w:t>‘the</w:t>
      </w:r>
      <w:r w:rsidRPr="00CD4F28" w:rsidDel="00261757">
        <w:rPr>
          <w:rFonts w:ascii="Arial" w:hAnsi="Arial" w:cs="Arial"/>
          <w:sz w:val="24"/>
          <w:szCs w:val="24"/>
          <w:lang w:val="en-IE"/>
        </w:rPr>
        <w:t xml:space="preserve"> </w:t>
      </w:r>
      <w:r w:rsidRPr="00CD4F28">
        <w:rPr>
          <w:rFonts w:ascii="Arial" w:hAnsi="Arial" w:cs="Arial"/>
          <w:sz w:val="24"/>
          <w:szCs w:val="24"/>
          <w:lang w:val="en-IE"/>
        </w:rPr>
        <w:t>Authority</w:t>
      </w:r>
      <w:r w:rsidR="00261757" w:rsidRPr="00CD4F28">
        <w:rPr>
          <w:rFonts w:ascii="Arial" w:hAnsi="Arial" w:cs="Arial"/>
          <w:sz w:val="24"/>
          <w:szCs w:val="24"/>
          <w:lang w:val="en-IE"/>
        </w:rPr>
        <w:t>’</w:t>
      </w:r>
      <w:r w:rsidRPr="00CD4F28">
        <w:rPr>
          <w:rFonts w:ascii="Arial" w:hAnsi="Arial" w:cs="Arial"/>
          <w:sz w:val="24"/>
          <w:szCs w:val="24"/>
          <w:lang w:val="en-IE"/>
        </w:rPr>
        <w:t>) is a Union (EU) body established by Regulation (</w:t>
      </w:r>
      <w:r w:rsidR="00F81B57" w:rsidRPr="00CD4F28">
        <w:rPr>
          <w:rFonts w:ascii="Arial" w:hAnsi="Arial" w:cs="Arial"/>
          <w:sz w:val="24"/>
          <w:szCs w:val="24"/>
          <w:lang w:val="en-IE"/>
        </w:rPr>
        <w:t>EU</w:t>
      </w:r>
      <w:r w:rsidRPr="00CD4F28">
        <w:rPr>
          <w:rFonts w:ascii="Arial" w:hAnsi="Arial" w:cs="Arial"/>
          <w:sz w:val="24"/>
          <w:szCs w:val="24"/>
          <w:lang w:val="en-IE"/>
        </w:rPr>
        <w:t xml:space="preserve">) </w:t>
      </w:r>
      <w:r w:rsidR="00F81B57" w:rsidRPr="00CD4F28">
        <w:rPr>
          <w:rFonts w:ascii="Arial" w:hAnsi="Arial" w:cs="Arial"/>
          <w:sz w:val="24"/>
          <w:szCs w:val="24"/>
          <w:lang w:val="en-IE"/>
        </w:rPr>
        <w:t>2019/1149</w:t>
      </w:r>
      <w:r w:rsidRPr="00CD4F28">
        <w:rPr>
          <w:rFonts w:ascii="Arial" w:hAnsi="Arial" w:cs="Arial"/>
          <w:sz w:val="24"/>
          <w:szCs w:val="24"/>
          <w:lang w:val="en-IE"/>
        </w:rPr>
        <w:t xml:space="preserve"> of the Europea</w:t>
      </w:r>
      <w:r w:rsidR="002C6483" w:rsidRPr="00CD4F28">
        <w:rPr>
          <w:rFonts w:ascii="Arial" w:hAnsi="Arial" w:cs="Arial"/>
          <w:sz w:val="24"/>
          <w:szCs w:val="24"/>
          <w:lang w:val="en-IE"/>
        </w:rPr>
        <w:t>n Parliament and</w:t>
      </w:r>
      <w:r w:rsidR="000C69A5" w:rsidRPr="00CD4F28">
        <w:rPr>
          <w:rFonts w:ascii="Arial" w:hAnsi="Arial" w:cs="Arial"/>
          <w:sz w:val="24"/>
          <w:szCs w:val="24"/>
          <w:lang w:val="en-IE"/>
        </w:rPr>
        <w:t xml:space="preserve"> of</w:t>
      </w:r>
      <w:r w:rsidR="002C6483" w:rsidRPr="00CD4F28">
        <w:rPr>
          <w:rFonts w:ascii="Arial" w:hAnsi="Arial" w:cs="Arial"/>
          <w:sz w:val="24"/>
          <w:szCs w:val="24"/>
          <w:lang w:val="en-IE"/>
        </w:rPr>
        <w:t xml:space="preserve"> </w:t>
      </w:r>
      <w:r w:rsidR="009F5C32" w:rsidRPr="00CD4F28">
        <w:rPr>
          <w:rFonts w:ascii="Arial" w:hAnsi="Arial" w:cs="Arial"/>
          <w:sz w:val="24"/>
          <w:szCs w:val="24"/>
          <w:lang w:val="en-IE"/>
        </w:rPr>
        <w:t>the Council</w:t>
      </w:r>
      <w:r w:rsidR="00261757" w:rsidRPr="00CD4F28">
        <w:rPr>
          <w:rFonts w:ascii="Arial" w:hAnsi="Arial" w:cs="Arial"/>
          <w:sz w:val="24"/>
          <w:szCs w:val="24"/>
          <w:lang w:val="en-IE"/>
        </w:rPr>
        <w:t>, which entered into force on 31 July 2019</w:t>
      </w:r>
      <w:r w:rsidR="009F5C32" w:rsidRPr="00CD4F28">
        <w:rPr>
          <w:rFonts w:ascii="Arial" w:hAnsi="Arial" w:cs="Arial"/>
          <w:sz w:val="24"/>
          <w:szCs w:val="24"/>
          <w:lang w:val="en-IE"/>
        </w:rPr>
        <w:t>.</w:t>
      </w:r>
    </w:p>
    <w:p w14:paraId="309F2EF9" w14:textId="07DE2FD0" w:rsidR="003A2006" w:rsidRPr="00CD4F28" w:rsidRDefault="003A2006"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w:t>
      </w:r>
      <w:r w:rsidR="00E227AE" w:rsidRPr="00CD4F28">
        <w:rPr>
          <w:rFonts w:ascii="Arial" w:hAnsi="Arial" w:cs="Arial"/>
          <w:sz w:val="24"/>
          <w:szCs w:val="24"/>
          <w:lang w:val="en-IE"/>
        </w:rPr>
        <w:t xml:space="preserve"> objective</w:t>
      </w:r>
      <w:r w:rsidR="00B6031F" w:rsidRPr="00CD4F28">
        <w:rPr>
          <w:rFonts w:ascii="Arial" w:hAnsi="Arial" w:cs="Arial"/>
          <w:sz w:val="24"/>
          <w:szCs w:val="24"/>
          <w:lang w:val="en-IE"/>
        </w:rPr>
        <w:t xml:space="preserve"> of the</w:t>
      </w:r>
      <w:r w:rsidRPr="00CD4F28">
        <w:rPr>
          <w:rFonts w:ascii="Arial" w:hAnsi="Arial" w:cs="Arial"/>
          <w:sz w:val="24"/>
          <w:szCs w:val="24"/>
          <w:lang w:val="en-IE"/>
        </w:rPr>
        <w:t xml:space="preserve"> Authority</w:t>
      </w:r>
      <w:r w:rsidR="00261757" w:rsidRPr="00CD4F28">
        <w:rPr>
          <w:rFonts w:ascii="Arial" w:hAnsi="Arial" w:cs="Arial"/>
          <w:sz w:val="24"/>
          <w:szCs w:val="24"/>
          <w:lang w:val="en-IE"/>
        </w:rPr>
        <w:t>, as set out in Article 2 of Regulation (EU) 2019/1149,</w:t>
      </w:r>
      <w:r w:rsidRPr="00CD4F28">
        <w:rPr>
          <w:rFonts w:ascii="Arial" w:hAnsi="Arial" w:cs="Arial"/>
          <w:sz w:val="24"/>
          <w:szCs w:val="24"/>
          <w:lang w:val="en-IE"/>
        </w:rPr>
        <w:t xml:space="preserve"> </w:t>
      </w:r>
      <w:r w:rsidR="00B6031F" w:rsidRPr="00CD4F28">
        <w:rPr>
          <w:rFonts w:ascii="Arial" w:hAnsi="Arial" w:cs="Arial"/>
          <w:sz w:val="24"/>
          <w:szCs w:val="24"/>
          <w:lang w:val="en-IE"/>
        </w:rPr>
        <w:t>is to contribute to ensuring fair labour mobility across the Union and assist Member States and the Commission in the coordination of social security systems within the Union.</w:t>
      </w:r>
    </w:p>
    <w:p w14:paraId="39D95812" w14:textId="18ED8A79" w:rsidR="006413F6" w:rsidRPr="00CD4F28" w:rsidRDefault="006413F6"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Authority will improve cooperation and the implementation of EU rules in this field, by carrying out its tasks in full cooperation with the Union institutions and bodies and the Member States, while avoiding any duplication of work and promoting synergy and complementarity.</w:t>
      </w:r>
    </w:p>
    <w:p w14:paraId="7DA6E9E9" w14:textId="198D2094" w:rsidR="00F81B57" w:rsidRPr="00CD4F28" w:rsidRDefault="00F81B57" w:rsidP="00A73694">
      <w:pPr>
        <w:pStyle w:val="BodyText"/>
        <w:tabs>
          <w:tab w:val="left" w:pos="0"/>
        </w:tabs>
        <w:spacing w:line="276" w:lineRule="auto"/>
        <w:ind w:right="283"/>
        <w:jc w:val="both"/>
        <w:rPr>
          <w:rFonts w:ascii="Arial" w:hAnsi="Arial" w:cs="Arial"/>
          <w:sz w:val="24"/>
          <w:szCs w:val="24"/>
          <w:lang w:val="en-IE"/>
        </w:rPr>
      </w:pPr>
    </w:p>
    <w:p w14:paraId="480C5A9C" w14:textId="04EDE95A" w:rsidR="002C6483" w:rsidRPr="00CD4F28" w:rsidRDefault="009F5C32"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deliver </w:t>
      </w:r>
      <w:r w:rsidR="00261757" w:rsidRPr="00CD4F28">
        <w:rPr>
          <w:rFonts w:ascii="Arial" w:hAnsi="Arial" w:cs="Arial"/>
          <w:sz w:val="24"/>
          <w:szCs w:val="24"/>
          <w:lang w:val="en-IE"/>
        </w:rPr>
        <w:t xml:space="preserve">the following </w:t>
      </w:r>
      <w:r w:rsidRPr="00CD4F28">
        <w:rPr>
          <w:rFonts w:ascii="Arial" w:hAnsi="Arial" w:cs="Arial"/>
          <w:sz w:val="24"/>
          <w:szCs w:val="24"/>
          <w:lang w:val="en-IE"/>
        </w:rPr>
        <w:t xml:space="preserve">essential tasks for </w:t>
      </w:r>
      <w:r w:rsidR="00E227AE" w:rsidRPr="00CD4F28">
        <w:rPr>
          <w:rFonts w:ascii="Arial" w:hAnsi="Arial" w:cs="Arial"/>
          <w:sz w:val="24"/>
          <w:szCs w:val="24"/>
          <w:lang w:val="en-IE"/>
        </w:rPr>
        <w:t xml:space="preserve">a well-functioning </w:t>
      </w:r>
      <w:r w:rsidRPr="00CD4F28">
        <w:rPr>
          <w:rFonts w:ascii="Arial" w:hAnsi="Arial" w:cs="Arial"/>
          <w:sz w:val="24"/>
          <w:szCs w:val="24"/>
          <w:lang w:val="en-IE"/>
        </w:rPr>
        <w:t>Euro</w:t>
      </w:r>
      <w:r w:rsidR="002C6483" w:rsidRPr="00CD4F28">
        <w:rPr>
          <w:rFonts w:ascii="Arial" w:hAnsi="Arial" w:cs="Arial"/>
          <w:sz w:val="24"/>
          <w:szCs w:val="24"/>
          <w:lang w:val="en-IE"/>
        </w:rPr>
        <w:t>pean labour market:</w:t>
      </w:r>
    </w:p>
    <w:p w14:paraId="15ED3A97" w14:textId="71094CE2" w:rsidR="009F5C32" w:rsidRPr="00CD4F28" w:rsidRDefault="009F5C32"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noProof/>
          <w:sz w:val="24"/>
          <w:szCs w:val="24"/>
          <w:lang w:bidi="ar-SA"/>
        </w:rPr>
        <w:drawing>
          <wp:anchor distT="0" distB="0" distL="114300" distR="114300" simplePos="0" relativeHeight="251650048" behindDoc="0" locked="0" layoutInCell="1" allowOverlap="1" wp14:anchorId="238F2634" wp14:editId="0D92EB39">
            <wp:simplePos x="0" y="0"/>
            <wp:positionH relativeFrom="column">
              <wp:posOffset>-4445</wp:posOffset>
            </wp:positionH>
            <wp:positionV relativeFrom="paragraph">
              <wp:posOffset>14718</wp:posOffset>
            </wp:positionV>
            <wp:extent cx="911176" cy="911176"/>
            <wp:effectExtent l="0" t="0" r="0" b="0"/>
            <wp:wrapNone/>
            <wp:docPr id="6" name="Picture 4" descr="C:\Users\deganis\AppData\Local\Microsoft\Windows\Temporary Internet Files\Content.Outlook\MXOYXU3K\Ico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deganis\AppData\Local\Microsoft\Windows\Temporary Internet Files\Content.Outlook\MXOYXU3K\Icons2.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4700"/>
                              </a14:imgEffect>
                              <a14:imgEffect>
                                <a14:saturation sat="74000"/>
                              </a14:imgEffect>
                            </a14:imgLayer>
                          </a14:imgProps>
                        </a:ext>
                        <a:ext uri="{28A0092B-C50C-407E-A947-70E740481C1C}">
                          <a14:useLocalDpi xmlns:a14="http://schemas.microsoft.com/office/drawing/2010/main" val="0"/>
                        </a:ext>
                      </a:extLst>
                    </a:blip>
                    <a:srcRect/>
                    <a:stretch>
                      <a:fillRect/>
                    </a:stretch>
                  </pic:blipFill>
                  <pic:spPr bwMode="auto">
                    <a:xfrm>
                      <a:off x="0" y="0"/>
                      <a:ext cx="911176" cy="911176"/>
                    </a:xfrm>
                    <a:prstGeom prst="rect">
                      <a:avLst/>
                    </a:prstGeom>
                    <a:noFill/>
                    <a:extLst/>
                  </pic:spPr>
                </pic:pic>
              </a:graphicData>
            </a:graphic>
            <wp14:sizeRelH relativeFrom="margin">
              <wp14:pctWidth>0</wp14:pctWidth>
            </wp14:sizeRelH>
            <wp14:sizeRelV relativeFrom="margin">
              <wp14:pctHeight>0</wp14:pctHeight>
            </wp14:sizeRelV>
          </wp:anchor>
        </w:drawing>
      </w:r>
    </w:p>
    <w:p w14:paraId="48ED5F23" w14:textId="361DCECE"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sz w:val="24"/>
          <w:szCs w:val="24"/>
          <w:lang w:val="en-IE"/>
        </w:rPr>
        <w:t>Facilitat</w:t>
      </w:r>
      <w:r w:rsidR="00261757" w:rsidRPr="00CD4F28">
        <w:rPr>
          <w:rFonts w:ascii="Arial" w:hAnsi="Arial" w:cs="Arial"/>
          <w:sz w:val="24"/>
          <w:szCs w:val="24"/>
          <w:lang w:val="en-IE"/>
        </w:rPr>
        <w:t>e</w:t>
      </w:r>
      <w:r w:rsidRPr="00CD4F28">
        <w:rPr>
          <w:rFonts w:ascii="Arial" w:hAnsi="Arial" w:cs="Arial"/>
          <w:sz w:val="24"/>
          <w:szCs w:val="24"/>
          <w:lang w:val="en-IE"/>
        </w:rPr>
        <w:t xml:space="preserve"> access to information</w:t>
      </w:r>
      <w:r w:rsidR="001E4C05" w:rsidRPr="00CD4F28">
        <w:rPr>
          <w:rFonts w:ascii="Arial" w:hAnsi="Arial" w:cs="Arial"/>
          <w:sz w:val="24"/>
          <w:szCs w:val="24"/>
          <w:lang w:val="en-IE"/>
        </w:rPr>
        <w:t>,</w:t>
      </w:r>
      <w:r w:rsidRPr="00CD4F28">
        <w:rPr>
          <w:rFonts w:ascii="Arial" w:hAnsi="Arial" w:cs="Arial"/>
          <w:sz w:val="24"/>
          <w:szCs w:val="24"/>
          <w:lang w:val="en-IE"/>
        </w:rPr>
        <w:t xml:space="preserve"> and coordinate EURES</w:t>
      </w:r>
      <w:r w:rsidR="00261757" w:rsidRPr="00CD4F28">
        <w:rPr>
          <w:rFonts w:ascii="Arial" w:hAnsi="Arial" w:cs="Arial"/>
          <w:sz w:val="24"/>
          <w:szCs w:val="24"/>
          <w:lang w:val="en-IE"/>
        </w:rPr>
        <w:t>;</w:t>
      </w:r>
    </w:p>
    <w:p w14:paraId="5567A8F7" w14:textId="5E3A2439"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noProof/>
          <w:sz w:val="24"/>
          <w:szCs w:val="24"/>
          <w:lang w:bidi="ar-SA"/>
        </w:rPr>
        <w:drawing>
          <wp:anchor distT="0" distB="0" distL="114300" distR="114300" simplePos="0" relativeHeight="251657216" behindDoc="0" locked="0" layoutInCell="1" allowOverlap="1" wp14:anchorId="213E8367" wp14:editId="09298333">
            <wp:simplePos x="0" y="0"/>
            <wp:positionH relativeFrom="column">
              <wp:posOffset>4445</wp:posOffset>
            </wp:positionH>
            <wp:positionV relativeFrom="paragraph">
              <wp:posOffset>579868</wp:posOffset>
            </wp:positionV>
            <wp:extent cx="867490" cy="867490"/>
            <wp:effectExtent l="0" t="0" r="0" b="0"/>
            <wp:wrapNone/>
            <wp:docPr id="9" name="Picture 3" descr="C:\Users\deganis\AppData\Local\Microsoft\Windows\Temporary Internet Files\Content.Outlook\MXOYXU3K\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deganis\AppData\Local\Microsoft\Windows\Temporary Internet Files\Content.Outlook\MXOYXU3K\Icons.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colorTemperature colorTemp="4700"/>
                              </a14:imgEffect>
                              <a14:imgEffect>
                                <a14:saturation sat="74000"/>
                              </a14:imgEffect>
                            </a14:imgLayer>
                          </a14:imgProps>
                        </a:ext>
                        <a:ext uri="{28A0092B-C50C-407E-A947-70E740481C1C}">
                          <a14:useLocalDpi xmlns:a14="http://schemas.microsoft.com/office/drawing/2010/main" val="0"/>
                        </a:ext>
                      </a:extLst>
                    </a:blip>
                    <a:srcRect/>
                    <a:stretch>
                      <a:fillRect/>
                    </a:stretch>
                  </pic:blipFill>
                  <pic:spPr bwMode="auto">
                    <a:xfrm>
                      <a:off x="0" y="0"/>
                      <a:ext cx="867490" cy="867490"/>
                    </a:xfrm>
                    <a:prstGeom prst="rect">
                      <a:avLst/>
                    </a:prstGeom>
                    <a:noFill/>
                    <a:extLst/>
                  </pic:spPr>
                </pic:pic>
              </a:graphicData>
            </a:graphic>
            <wp14:sizeRelH relativeFrom="margin">
              <wp14:pctWidth>0</wp14:pctWidth>
            </wp14:sizeRelH>
            <wp14:sizeRelV relativeFrom="margin">
              <wp14:pctHeight>0</wp14:pctHeight>
            </wp14:sizeRelV>
          </wp:anchor>
        </w:drawing>
      </w:r>
      <w:r w:rsidRPr="00CD4F28">
        <w:rPr>
          <w:rFonts w:ascii="Arial" w:hAnsi="Arial" w:cs="Arial"/>
          <w:sz w:val="24"/>
          <w:szCs w:val="24"/>
          <w:lang w:val="en-IE"/>
        </w:rPr>
        <w:t>Facilitat</w:t>
      </w:r>
      <w:r w:rsidR="00261757" w:rsidRPr="00CD4F28">
        <w:rPr>
          <w:rFonts w:ascii="Arial" w:hAnsi="Arial" w:cs="Arial"/>
          <w:sz w:val="24"/>
          <w:szCs w:val="24"/>
          <w:lang w:val="en-IE"/>
        </w:rPr>
        <w:t>e</w:t>
      </w:r>
      <w:r w:rsidRPr="00CD4F28">
        <w:rPr>
          <w:rFonts w:ascii="Arial" w:hAnsi="Arial" w:cs="Arial"/>
          <w:sz w:val="24"/>
          <w:szCs w:val="24"/>
          <w:lang w:val="en-IE"/>
        </w:rPr>
        <w:t xml:space="preserve"> cooperation and </w:t>
      </w:r>
      <w:r w:rsidR="00261757" w:rsidRPr="00CD4F28">
        <w:rPr>
          <w:rFonts w:ascii="Arial" w:hAnsi="Arial" w:cs="Arial"/>
          <w:sz w:val="24"/>
          <w:szCs w:val="24"/>
          <w:lang w:val="en-IE"/>
        </w:rPr>
        <w:t xml:space="preserve">the </w:t>
      </w:r>
      <w:r w:rsidRPr="00CD4F28">
        <w:rPr>
          <w:rFonts w:ascii="Arial" w:hAnsi="Arial" w:cs="Arial"/>
          <w:sz w:val="24"/>
          <w:szCs w:val="24"/>
          <w:lang w:val="en-IE"/>
        </w:rPr>
        <w:t>exchange of information between Member States with a view to the consistent, efficient and effective application and enforcement of relevant Union law</w:t>
      </w:r>
      <w:r w:rsidR="00261757" w:rsidRPr="00CD4F28">
        <w:rPr>
          <w:rFonts w:ascii="Arial" w:hAnsi="Arial" w:cs="Arial"/>
          <w:sz w:val="24"/>
          <w:szCs w:val="24"/>
          <w:lang w:val="en-IE"/>
        </w:rPr>
        <w:t>;</w:t>
      </w:r>
    </w:p>
    <w:p w14:paraId="04C9F11D" w14:textId="657A67B1"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sz w:val="24"/>
          <w:szCs w:val="24"/>
          <w:lang w:val="en-IE"/>
        </w:rPr>
        <w:t>Coordinat</w:t>
      </w:r>
      <w:r w:rsidR="00261757" w:rsidRPr="00CD4F28">
        <w:rPr>
          <w:rFonts w:ascii="Arial" w:hAnsi="Arial" w:cs="Arial"/>
          <w:sz w:val="24"/>
          <w:szCs w:val="24"/>
          <w:lang w:val="en-IE"/>
        </w:rPr>
        <w:t>e</w:t>
      </w:r>
      <w:r w:rsidRPr="00CD4F28">
        <w:rPr>
          <w:rFonts w:ascii="Arial" w:hAnsi="Arial" w:cs="Arial"/>
          <w:sz w:val="24"/>
          <w:szCs w:val="24"/>
          <w:lang w:val="en-IE"/>
        </w:rPr>
        <w:t xml:space="preserve"> and support concerted and joint inspections</w:t>
      </w:r>
      <w:r w:rsidR="00261757" w:rsidRPr="00CD4F28">
        <w:rPr>
          <w:rFonts w:ascii="Arial" w:hAnsi="Arial" w:cs="Arial"/>
          <w:sz w:val="24"/>
          <w:szCs w:val="24"/>
          <w:lang w:val="en-IE"/>
        </w:rPr>
        <w:t>;</w:t>
      </w:r>
    </w:p>
    <w:p w14:paraId="52338FCB" w14:textId="23E8CC7E"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sz w:val="24"/>
          <w:szCs w:val="24"/>
          <w:lang w:val="en-IE"/>
        </w:rPr>
        <w:t>Carry out analyses and risk assessment of issues of cross-border labour mobility</w:t>
      </w:r>
      <w:r w:rsidR="00261757" w:rsidRPr="00CD4F28">
        <w:rPr>
          <w:rFonts w:ascii="Arial" w:hAnsi="Arial" w:cs="Arial"/>
          <w:sz w:val="24"/>
          <w:szCs w:val="24"/>
          <w:lang w:val="en-IE"/>
        </w:rPr>
        <w:t>;</w:t>
      </w:r>
    </w:p>
    <w:p w14:paraId="1F2049AC" w14:textId="34F9B36C"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noProof/>
          <w:sz w:val="24"/>
          <w:szCs w:val="24"/>
          <w:lang w:bidi="ar-SA"/>
        </w:rPr>
        <w:drawing>
          <wp:anchor distT="0" distB="0" distL="114300" distR="114300" simplePos="0" relativeHeight="251663360" behindDoc="0" locked="0" layoutInCell="1" allowOverlap="1" wp14:anchorId="3643F6B1" wp14:editId="151913C6">
            <wp:simplePos x="0" y="0"/>
            <wp:positionH relativeFrom="column">
              <wp:posOffset>85725</wp:posOffset>
            </wp:positionH>
            <wp:positionV relativeFrom="paragraph">
              <wp:posOffset>357618</wp:posOffset>
            </wp:positionV>
            <wp:extent cx="688063" cy="688063"/>
            <wp:effectExtent l="0" t="0" r="0" b="0"/>
            <wp:wrapNone/>
            <wp:docPr id="10" name="Picture 10" descr="C:\Users\deganis\AppData\Local\Microsoft\Windows\Temporary Internet Files\Content.Outlook\MXOYXU3K\Icon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deganis\AppData\Local\Microsoft\Windows\Temporary Internet Files\Content.Outlook\MXOYXU3K\Icons3.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colorTemperature colorTemp="4700"/>
                              </a14:imgEffect>
                              <a14:imgEffect>
                                <a14:saturation sat="74000"/>
                              </a14:imgEffect>
                            </a14:imgLayer>
                          </a14:imgProps>
                        </a:ext>
                        <a:ext uri="{28A0092B-C50C-407E-A947-70E740481C1C}">
                          <a14:useLocalDpi xmlns:a14="http://schemas.microsoft.com/office/drawing/2010/main" val="0"/>
                        </a:ext>
                      </a:extLst>
                    </a:blip>
                    <a:srcRect/>
                    <a:stretch>
                      <a:fillRect/>
                    </a:stretch>
                  </pic:blipFill>
                  <pic:spPr bwMode="auto">
                    <a:xfrm>
                      <a:off x="0" y="0"/>
                      <a:ext cx="688063" cy="688063"/>
                    </a:xfrm>
                    <a:prstGeom prst="rect">
                      <a:avLst/>
                    </a:prstGeom>
                    <a:noFill/>
                    <a:extLst/>
                  </pic:spPr>
                </pic:pic>
              </a:graphicData>
            </a:graphic>
            <wp14:sizeRelH relativeFrom="margin">
              <wp14:pctWidth>0</wp14:pctWidth>
            </wp14:sizeRelH>
            <wp14:sizeRelV relativeFrom="margin">
              <wp14:pctHeight>0</wp14:pctHeight>
            </wp14:sizeRelV>
          </wp:anchor>
        </w:drawing>
      </w:r>
      <w:r w:rsidRPr="00CD4F28">
        <w:rPr>
          <w:rFonts w:ascii="Arial" w:hAnsi="Arial" w:cs="Arial"/>
          <w:sz w:val="24"/>
          <w:szCs w:val="24"/>
          <w:lang w:val="en-IE"/>
        </w:rPr>
        <w:t>Support Member Stats with capacity building regarding the effective application and enforcement of relevant Union law</w:t>
      </w:r>
      <w:r w:rsidR="00261757" w:rsidRPr="00CD4F28">
        <w:rPr>
          <w:rFonts w:ascii="Arial" w:hAnsi="Arial" w:cs="Arial"/>
          <w:sz w:val="24"/>
          <w:szCs w:val="24"/>
          <w:lang w:val="en-IE"/>
        </w:rPr>
        <w:t>;</w:t>
      </w:r>
    </w:p>
    <w:p w14:paraId="34B706AE" w14:textId="6A65122B"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sz w:val="24"/>
          <w:szCs w:val="24"/>
          <w:lang w:val="en-IE"/>
        </w:rPr>
        <w:t>Support Member States in tackling undeclared work</w:t>
      </w:r>
      <w:r w:rsidR="00261757" w:rsidRPr="00CD4F28">
        <w:rPr>
          <w:rFonts w:ascii="Arial" w:hAnsi="Arial" w:cs="Arial"/>
          <w:sz w:val="24"/>
          <w:szCs w:val="24"/>
          <w:lang w:val="en-IE"/>
        </w:rPr>
        <w:t>;</w:t>
      </w:r>
    </w:p>
    <w:p w14:paraId="6C8807B7" w14:textId="4276F6F4" w:rsidR="009F5C32" w:rsidRPr="00CD4F28" w:rsidRDefault="009F5C32" w:rsidP="00D03DF3">
      <w:pPr>
        <w:pStyle w:val="ListParagraph"/>
        <w:widowControl/>
        <w:numPr>
          <w:ilvl w:val="0"/>
          <w:numId w:val="4"/>
        </w:numPr>
        <w:tabs>
          <w:tab w:val="left" w:pos="0"/>
        </w:tabs>
        <w:autoSpaceDE/>
        <w:autoSpaceDN/>
        <w:spacing w:after="200" w:line="276" w:lineRule="auto"/>
        <w:ind w:left="2127" w:right="283" w:hanging="426"/>
        <w:contextualSpacing/>
        <w:jc w:val="both"/>
        <w:rPr>
          <w:rFonts w:ascii="Arial" w:hAnsi="Arial" w:cs="Arial"/>
          <w:sz w:val="24"/>
          <w:szCs w:val="24"/>
          <w:lang w:val="en-IE"/>
        </w:rPr>
      </w:pPr>
      <w:r w:rsidRPr="00CD4F28">
        <w:rPr>
          <w:rFonts w:ascii="Arial" w:hAnsi="Arial" w:cs="Arial"/>
          <w:sz w:val="24"/>
          <w:szCs w:val="24"/>
          <w:lang w:val="en-IE"/>
        </w:rPr>
        <w:t>Mediat</w:t>
      </w:r>
      <w:r w:rsidR="00261757" w:rsidRPr="00CD4F28">
        <w:rPr>
          <w:rFonts w:ascii="Arial" w:hAnsi="Arial" w:cs="Arial"/>
          <w:sz w:val="24"/>
          <w:szCs w:val="24"/>
          <w:lang w:val="en-IE"/>
        </w:rPr>
        <w:t>e</w:t>
      </w:r>
      <w:r w:rsidRPr="00CD4F28">
        <w:rPr>
          <w:rFonts w:ascii="Arial" w:hAnsi="Arial" w:cs="Arial"/>
          <w:sz w:val="24"/>
          <w:szCs w:val="24"/>
          <w:lang w:val="en-IE"/>
        </w:rPr>
        <w:t xml:space="preserve"> disputes between Member States on the application of relevant Union law.</w:t>
      </w:r>
    </w:p>
    <w:p w14:paraId="77085FA0" w14:textId="77777777" w:rsidR="0050302E" w:rsidRPr="00CD4F28" w:rsidRDefault="0050302E" w:rsidP="00A73694">
      <w:pPr>
        <w:pStyle w:val="BodyText"/>
        <w:tabs>
          <w:tab w:val="left" w:pos="0"/>
        </w:tabs>
        <w:spacing w:line="276" w:lineRule="auto"/>
        <w:ind w:right="283"/>
        <w:jc w:val="both"/>
        <w:rPr>
          <w:rFonts w:ascii="Arial" w:hAnsi="Arial" w:cs="Arial"/>
          <w:sz w:val="24"/>
          <w:szCs w:val="24"/>
          <w:lang w:val="en-IE"/>
        </w:rPr>
      </w:pPr>
    </w:p>
    <w:tbl>
      <w:tblPr>
        <w:tblStyle w:val="TableGrid"/>
        <w:tblW w:w="0" w:type="auto"/>
        <w:tblLook w:val="04A0" w:firstRow="1" w:lastRow="0" w:firstColumn="1" w:lastColumn="0" w:noHBand="0" w:noVBand="1"/>
      </w:tblPr>
      <w:tblGrid>
        <w:gridCol w:w="9574"/>
      </w:tblGrid>
      <w:tr w:rsidR="0050302E" w:rsidRPr="00CD4F28" w14:paraId="1D3D87C8" w14:textId="77777777" w:rsidTr="002C6483">
        <w:tc>
          <w:tcPr>
            <w:tcW w:w="9934" w:type="dxa"/>
            <w:tcBorders>
              <w:top w:val="single" w:sz="12" w:space="0" w:color="993366"/>
              <w:left w:val="single" w:sz="12" w:space="0" w:color="993366"/>
              <w:bottom w:val="single" w:sz="12" w:space="0" w:color="993366"/>
              <w:right w:val="single" w:sz="12" w:space="0" w:color="993366"/>
            </w:tcBorders>
            <w:shd w:val="clear" w:color="auto" w:fill="F2F2F2" w:themeFill="background1" w:themeFillShade="F2"/>
          </w:tcPr>
          <w:p w14:paraId="663FB2B7" w14:textId="68ECC7BA" w:rsidR="0050302E" w:rsidRPr="00CD4F28" w:rsidRDefault="0050302E" w:rsidP="00A73694">
            <w:pPr>
              <w:pStyle w:val="BodyText"/>
              <w:tabs>
                <w:tab w:val="left" w:pos="0"/>
              </w:tabs>
              <w:spacing w:line="276" w:lineRule="auto"/>
              <w:jc w:val="both"/>
              <w:rPr>
                <w:rFonts w:ascii="Arial" w:hAnsi="Arial" w:cs="Arial"/>
                <w:sz w:val="24"/>
                <w:szCs w:val="24"/>
                <w:lang w:val="en-IE"/>
              </w:rPr>
            </w:pPr>
            <w:r w:rsidRPr="00CD4F28">
              <w:rPr>
                <w:rFonts w:ascii="Arial" w:hAnsi="Arial" w:cs="Arial"/>
                <w:sz w:val="24"/>
                <w:szCs w:val="24"/>
                <w:lang w:val="en-IE"/>
              </w:rPr>
              <w:t xml:space="preserve">The scope of the Authority </w:t>
            </w:r>
            <w:r w:rsidR="00261757" w:rsidRPr="00CD4F28">
              <w:rPr>
                <w:rFonts w:ascii="Arial" w:hAnsi="Arial" w:cs="Arial"/>
                <w:sz w:val="24"/>
                <w:szCs w:val="24"/>
                <w:lang w:val="en-IE"/>
              </w:rPr>
              <w:t xml:space="preserve">includes: </w:t>
            </w:r>
          </w:p>
          <w:p w14:paraId="34B7F903" w14:textId="77777777" w:rsidR="0050302E" w:rsidRPr="00CD4F28" w:rsidRDefault="0050302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Free movement of workers (Regulation (EU) No 492/2011; Directive 2014/54/EU);</w:t>
            </w:r>
          </w:p>
          <w:p w14:paraId="10D8C7ED" w14:textId="5EB729A6" w:rsidR="0050302E" w:rsidRPr="00CD4F28" w:rsidRDefault="0050302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EURES (Regulation (EU) 2016/589);</w:t>
            </w:r>
          </w:p>
          <w:p w14:paraId="1D7057F7" w14:textId="77777777" w:rsidR="000C69A5" w:rsidRPr="00CD4F28" w:rsidRDefault="0050302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Posting of workers (Directive 96/71/EC (as amended by Directive 2018/957/EU) and Directive 2014/67/EU;</w:t>
            </w:r>
            <w:r w:rsidR="000703FB" w:rsidRPr="00CD4F28">
              <w:rPr>
                <w:rFonts w:ascii="Arial" w:hAnsi="Arial" w:cs="Arial"/>
                <w:sz w:val="24"/>
                <w:szCs w:val="24"/>
                <w:lang w:val="en-IE"/>
              </w:rPr>
              <w:t xml:space="preserve"> </w:t>
            </w:r>
          </w:p>
          <w:p w14:paraId="63C49DFE" w14:textId="605AFB87" w:rsidR="0050302E" w:rsidRPr="00CD4F28" w:rsidRDefault="0050302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Social security coordination (Regulation (EC) No 883/2004 and Regulation (EC) No 987/2009</w:t>
            </w:r>
            <w:r w:rsidR="00261757" w:rsidRPr="00CD4F28">
              <w:rPr>
                <w:rFonts w:ascii="Arial" w:hAnsi="Arial" w:cs="Arial"/>
                <w:sz w:val="24"/>
                <w:szCs w:val="24"/>
                <w:lang w:val="en-IE"/>
              </w:rPr>
              <w:t>, Regulation (EU) 1231/2010</w:t>
            </w:r>
            <w:r w:rsidRPr="00CD4F28">
              <w:rPr>
                <w:rFonts w:ascii="Arial" w:hAnsi="Arial" w:cs="Arial"/>
                <w:sz w:val="24"/>
                <w:szCs w:val="24"/>
                <w:lang w:val="en-IE"/>
              </w:rPr>
              <w:t>)</w:t>
            </w:r>
            <w:r w:rsidR="00261757" w:rsidRPr="00CD4F28">
              <w:rPr>
                <w:rFonts w:ascii="Arial" w:hAnsi="Arial" w:cs="Arial"/>
                <w:sz w:val="24"/>
                <w:szCs w:val="24"/>
                <w:lang w:val="en-IE"/>
              </w:rPr>
              <w:t xml:space="preserve"> and insofar as they are still applicable, Council Regulations (EEC) No 1408/71 and (EEC) No 547/72, and (EC) No 859/2003</w:t>
            </w:r>
            <w:r w:rsidRPr="00CD4F28">
              <w:rPr>
                <w:rFonts w:ascii="Arial" w:hAnsi="Arial" w:cs="Arial"/>
                <w:sz w:val="24"/>
                <w:szCs w:val="24"/>
                <w:lang w:val="en-IE"/>
              </w:rPr>
              <w:t>;</w:t>
            </w:r>
          </w:p>
          <w:p w14:paraId="2F95B495" w14:textId="335528A0" w:rsidR="0050302E" w:rsidRPr="00CD4F28" w:rsidRDefault="0050302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Social aspects of international road transport rules (Regulation (EC) No 561/2006; Directive 2006/22/EU; Regulation (EC) No 1071/2009).</w:t>
            </w:r>
          </w:p>
        </w:tc>
      </w:tr>
    </w:tbl>
    <w:p w14:paraId="668F3B85" w14:textId="77777777" w:rsidR="000D594F" w:rsidRPr="00CD4F28" w:rsidRDefault="000D594F" w:rsidP="00A73694">
      <w:pPr>
        <w:pStyle w:val="BodyText"/>
        <w:tabs>
          <w:tab w:val="left" w:pos="0"/>
        </w:tabs>
        <w:spacing w:line="276" w:lineRule="auto"/>
        <w:ind w:right="283"/>
        <w:jc w:val="both"/>
        <w:rPr>
          <w:rFonts w:ascii="Arial" w:hAnsi="Arial" w:cs="Arial"/>
          <w:sz w:val="24"/>
          <w:szCs w:val="24"/>
          <w:lang w:val="en-IE"/>
        </w:rPr>
      </w:pPr>
    </w:p>
    <w:p w14:paraId="6CCFD925" w14:textId="4D34F8AB" w:rsidR="00D95E09" w:rsidRPr="00CD4F28" w:rsidRDefault="009F5C32" w:rsidP="00D03DF3">
      <w:pPr>
        <w:pStyle w:val="Heading1"/>
        <w:numPr>
          <w:ilvl w:val="0"/>
          <w:numId w:val="2"/>
        </w:numPr>
      </w:pPr>
      <w:bookmarkStart w:id="6" w:name="_Toc23423341"/>
      <w:bookmarkStart w:id="7" w:name="_Toc23425444"/>
      <w:bookmarkStart w:id="8" w:name="_Toc40092188"/>
      <w:r w:rsidRPr="00CD4F28">
        <w:t>GENERAL CONTEXT</w:t>
      </w:r>
      <w:bookmarkEnd w:id="6"/>
      <w:bookmarkEnd w:id="7"/>
      <w:bookmarkEnd w:id="8"/>
    </w:p>
    <w:p w14:paraId="04349363" w14:textId="77777777" w:rsidR="00210770" w:rsidRPr="00CD4F28" w:rsidRDefault="00210770" w:rsidP="00A73694">
      <w:pPr>
        <w:rPr>
          <w:rFonts w:ascii="Arial" w:hAnsi="Arial" w:cs="Arial"/>
          <w:sz w:val="24"/>
          <w:szCs w:val="24"/>
          <w:lang w:val="en-IE" w:bidi="ar-SA"/>
        </w:rPr>
      </w:pPr>
    </w:p>
    <w:p w14:paraId="5D3C2D78" w14:textId="2550EECE" w:rsidR="00B43AE7" w:rsidRPr="00CD4F28" w:rsidRDefault="00FD4BDA"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Over </w:t>
      </w:r>
      <w:r w:rsidR="00B43AE7" w:rsidRPr="00CD4F28">
        <w:rPr>
          <w:rFonts w:ascii="Arial" w:hAnsi="Arial" w:cs="Arial"/>
          <w:sz w:val="24"/>
          <w:szCs w:val="24"/>
          <w:lang w:val="en-IE"/>
        </w:rPr>
        <w:t>17.5 million Europeans live or work in a Member State other than that of their nationality. This figure has almost doubled compared to a decade ago. At the same time, businesses</w:t>
      </w:r>
      <w:r w:rsidR="00930E7D" w:rsidRPr="00CD4F28">
        <w:rPr>
          <w:rFonts w:ascii="Arial" w:hAnsi="Arial" w:cs="Arial"/>
          <w:sz w:val="24"/>
          <w:szCs w:val="24"/>
          <w:lang w:val="en-IE"/>
        </w:rPr>
        <w:t xml:space="preserve"> benefit from the Internal Market and </w:t>
      </w:r>
      <w:r w:rsidR="00B43AE7" w:rsidRPr="00CD4F28">
        <w:rPr>
          <w:rFonts w:ascii="Arial" w:hAnsi="Arial" w:cs="Arial"/>
          <w:sz w:val="24"/>
          <w:szCs w:val="24"/>
          <w:lang w:val="en-IE"/>
        </w:rPr>
        <w:t>operate across borders on a daily basis. Cross-border activity is a</w:t>
      </w:r>
      <w:r w:rsidR="00A85A09" w:rsidRPr="00CD4F28">
        <w:rPr>
          <w:rFonts w:ascii="Arial" w:hAnsi="Arial" w:cs="Arial"/>
          <w:sz w:val="24"/>
          <w:szCs w:val="24"/>
          <w:lang w:val="en-IE"/>
        </w:rPr>
        <w:t>n inherent feature of</w:t>
      </w:r>
      <w:r w:rsidR="00B43AE7" w:rsidRPr="00CD4F28">
        <w:rPr>
          <w:rFonts w:ascii="Arial" w:hAnsi="Arial" w:cs="Arial"/>
          <w:sz w:val="24"/>
          <w:szCs w:val="24"/>
          <w:lang w:val="en-IE"/>
        </w:rPr>
        <w:t xml:space="preserve"> the EU</w:t>
      </w:r>
      <w:r w:rsidR="004A2A41" w:rsidRPr="00CD4F28">
        <w:rPr>
          <w:rFonts w:ascii="Arial" w:hAnsi="Arial" w:cs="Arial"/>
          <w:sz w:val="24"/>
          <w:szCs w:val="24"/>
          <w:lang w:val="en-IE"/>
        </w:rPr>
        <w:t>,</w:t>
      </w:r>
      <w:r w:rsidR="00B43AE7" w:rsidRPr="00CD4F28">
        <w:rPr>
          <w:rFonts w:ascii="Arial" w:hAnsi="Arial" w:cs="Arial"/>
          <w:sz w:val="24"/>
          <w:szCs w:val="24"/>
          <w:lang w:val="en-IE"/>
        </w:rPr>
        <w:t xml:space="preserve"> which benefits individuals, economies and societies as a whole.</w:t>
      </w:r>
    </w:p>
    <w:p w14:paraId="68A9309B" w14:textId="1B17C47D" w:rsidR="00B43AE7" w:rsidRPr="00CD4F28" w:rsidRDefault="00B43AE7"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Free movement is also one of the most cherished freedoms of the Internal Market. According to the </w:t>
      </w:r>
      <w:hyperlink r:id="rId18" w:history="1">
        <w:r w:rsidRPr="00CD4F28">
          <w:rPr>
            <w:rFonts w:ascii="Arial" w:hAnsi="Arial" w:cs="Arial"/>
            <w:sz w:val="24"/>
            <w:szCs w:val="24"/>
            <w:lang w:val="en-IE"/>
          </w:rPr>
          <w:t>Eurobarometer (Spring 2018)</w:t>
        </w:r>
      </w:hyperlink>
      <w:r w:rsidRPr="00CD4F28">
        <w:rPr>
          <w:rFonts w:ascii="Arial" w:hAnsi="Arial" w:cs="Arial"/>
          <w:sz w:val="24"/>
          <w:szCs w:val="24"/>
          <w:lang w:val="en-IE"/>
        </w:rPr>
        <w:t>, more than 8 in 10 Europeans support "free movement of EU citizens who can live, work, study and do business anywhere in the EU".</w:t>
      </w:r>
    </w:p>
    <w:p w14:paraId="18216EA6" w14:textId="6E5B5CE6" w:rsidR="00BF727D" w:rsidRPr="00CD4F28" w:rsidRDefault="00BF727D"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To</w:t>
      </w:r>
      <w:r w:rsidRPr="00CD4F28" w:rsidDel="00A031E7">
        <w:rPr>
          <w:rFonts w:ascii="Arial" w:hAnsi="Arial" w:cs="Arial"/>
          <w:sz w:val="24"/>
          <w:szCs w:val="24"/>
          <w:lang w:val="en-IE"/>
        </w:rPr>
        <w:t xml:space="preserve"> </w:t>
      </w:r>
      <w:r w:rsidRPr="00CD4F28">
        <w:rPr>
          <w:rFonts w:ascii="Arial" w:hAnsi="Arial" w:cs="Arial"/>
          <w:sz w:val="24"/>
          <w:szCs w:val="24"/>
          <w:lang w:val="en-IE"/>
        </w:rPr>
        <w:t>facilitate free movement of workers within the Union, we need clear, fair and enforceable rules. The EU has</w:t>
      </w:r>
      <w:r w:rsidRPr="00CD4F28" w:rsidDel="00A031E7">
        <w:rPr>
          <w:rFonts w:ascii="Arial" w:hAnsi="Arial" w:cs="Arial"/>
          <w:sz w:val="24"/>
          <w:szCs w:val="24"/>
          <w:lang w:val="en-IE"/>
        </w:rPr>
        <w:t xml:space="preserve"> </w:t>
      </w:r>
      <w:r w:rsidRPr="00CD4F28">
        <w:rPr>
          <w:rFonts w:ascii="Arial" w:hAnsi="Arial" w:cs="Arial"/>
          <w:sz w:val="24"/>
          <w:szCs w:val="24"/>
          <w:lang w:val="en-IE"/>
        </w:rPr>
        <w:t>developed an extensive body of legislation pertaining to EU-level labour mobility, which keeps evolving to ensure the effectiveness and completeness of the acquis. The pas</w:t>
      </w:r>
      <w:r w:rsidR="00260A03" w:rsidRPr="00CD4F28">
        <w:rPr>
          <w:rFonts w:ascii="Arial" w:hAnsi="Arial" w:cs="Arial"/>
          <w:sz w:val="24"/>
          <w:szCs w:val="24"/>
          <w:lang w:val="en-IE"/>
        </w:rPr>
        <w:t>t</w:t>
      </w:r>
      <w:r w:rsidRPr="00CD4F28">
        <w:rPr>
          <w:rFonts w:ascii="Arial" w:hAnsi="Arial" w:cs="Arial"/>
          <w:sz w:val="24"/>
          <w:szCs w:val="24"/>
          <w:lang w:val="en-IE"/>
        </w:rPr>
        <w:t xml:space="preserve"> years brought enforcement rules adopted for free movement of workers and for posting, the revision of the posting of workers rules and of the framework governing the European Employment Services (EURES), the proposal to create the European Labour Authority, and the proposal to revise the social security coordination rules. These proposals come on top of previous EU legislation to facilitate the free movement of workers and job-seekers and initiatives such as the set-up of a European Platform to tackle undeclared work.</w:t>
      </w:r>
    </w:p>
    <w:p w14:paraId="3D80362F" w14:textId="77777777" w:rsidR="00BF727D" w:rsidRPr="00CD4F28" w:rsidRDefault="00BF727D"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The coming period will see the stabilisation of the new rules on labour mobility and a reinforced focus on their correct implementation, along with a strengthened enforcement. This will need to be complemented with a sustained effort to support free movement of workers as one of the pillars of the internal market, and to combat misperceptions surrounding it.</w:t>
      </w:r>
    </w:p>
    <w:p w14:paraId="6EEB7614" w14:textId="5ABFA407" w:rsidR="00F006EC" w:rsidRPr="00CD4F28" w:rsidRDefault="00F006EC"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The key new tool for strengthening enforcement of the labour mobility rules is the European Labour Authority. </w:t>
      </w:r>
      <w:r w:rsidR="00E227AE" w:rsidRPr="00CD4F28">
        <w:rPr>
          <w:rFonts w:ascii="Arial" w:hAnsi="Arial" w:cs="Arial"/>
          <w:sz w:val="24"/>
          <w:szCs w:val="24"/>
          <w:lang w:val="en-IE"/>
        </w:rPr>
        <w:t xml:space="preserve">Inaugurated </w:t>
      </w:r>
      <w:r w:rsidR="00223903" w:rsidRPr="00CD4F28">
        <w:rPr>
          <w:rFonts w:ascii="Arial" w:hAnsi="Arial" w:cs="Arial"/>
          <w:sz w:val="24"/>
          <w:szCs w:val="24"/>
          <w:lang w:val="en-IE"/>
        </w:rPr>
        <w:t>in October 2019, the Authority must now deliver on its tasks and</w:t>
      </w:r>
      <w:r w:rsidR="00A031E7" w:rsidRPr="00CD4F28">
        <w:rPr>
          <w:rFonts w:ascii="Arial" w:hAnsi="Arial" w:cs="Arial"/>
          <w:sz w:val="24"/>
          <w:szCs w:val="24"/>
          <w:lang w:val="en-IE"/>
        </w:rPr>
        <w:t xml:space="preserve"> </w:t>
      </w:r>
      <w:r w:rsidR="00223903" w:rsidRPr="00CD4F28">
        <w:rPr>
          <w:rFonts w:ascii="Arial" w:hAnsi="Arial" w:cs="Arial"/>
          <w:sz w:val="24"/>
          <w:szCs w:val="24"/>
          <w:lang w:val="en-IE"/>
        </w:rPr>
        <w:t>respond to the</w:t>
      </w:r>
      <w:r w:rsidR="00A031E7" w:rsidRPr="00CD4F28">
        <w:rPr>
          <w:rFonts w:ascii="Arial" w:hAnsi="Arial" w:cs="Arial"/>
          <w:sz w:val="24"/>
          <w:szCs w:val="24"/>
          <w:lang w:val="en-IE"/>
        </w:rPr>
        <w:t xml:space="preserve"> ambitions which underpinned its creation</w:t>
      </w:r>
      <w:r w:rsidR="00223903" w:rsidRPr="00CD4F28">
        <w:rPr>
          <w:rFonts w:ascii="Arial" w:hAnsi="Arial" w:cs="Arial"/>
          <w:sz w:val="24"/>
          <w:szCs w:val="24"/>
          <w:lang w:val="en-IE"/>
        </w:rPr>
        <w:t xml:space="preserve">. </w:t>
      </w:r>
    </w:p>
    <w:p w14:paraId="2D92A65B" w14:textId="54286E3F" w:rsidR="00E227AE" w:rsidRPr="00CD4F28" w:rsidRDefault="00E227AE"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 xml:space="preserve">Reinforcing and supporting the correct implementation of the European labour mobility acquis will require concrete and sustained actions in all fields covered by the Regulation </w:t>
      </w:r>
      <w:r w:rsidR="00A031E7" w:rsidRPr="00CD4F28">
        <w:rPr>
          <w:rFonts w:ascii="Arial" w:hAnsi="Arial" w:cs="Arial"/>
          <w:sz w:val="24"/>
          <w:szCs w:val="24"/>
          <w:lang w:val="en-IE"/>
        </w:rPr>
        <w:t>establishing the Authority</w:t>
      </w:r>
      <w:r w:rsidRPr="00CD4F28">
        <w:rPr>
          <w:rFonts w:ascii="Arial" w:hAnsi="Arial" w:cs="Arial"/>
          <w:sz w:val="24"/>
          <w:szCs w:val="24"/>
          <w:lang w:val="en-IE"/>
        </w:rPr>
        <w:t xml:space="preserve">. Whilst </w:t>
      </w:r>
      <w:r w:rsidR="00A031E7" w:rsidRPr="00CD4F28">
        <w:rPr>
          <w:rFonts w:ascii="Arial" w:hAnsi="Arial" w:cs="Arial"/>
          <w:sz w:val="24"/>
          <w:szCs w:val="24"/>
          <w:lang w:val="en-IE"/>
        </w:rPr>
        <w:t>starting to look ahead for the longer term,</w:t>
      </w:r>
      <w:r w:rsidRPr="00CD4F28">
        <w:rPr>
          <w:rFonts w:ascii="Arial" w:hAnsi="Arial" w:cs="Arial"/>
          <w:sz w:val="24"/>
          <w:szCs w:val="24"/>
          <w:lang w:val="en-IE"/>
        </w:rPr>
        <w:t xml:space="preserve"> the Authority’s goal</w:t>
      </w:r>
      <w:r w:rsidR="00A031E7" w:rsidRPr="00CD4F28">
        <w:rPr>
          <w:rFonts w:ascii="Arial" w:hAnsi="Arial" w:cs="Arial"/>
          <w:sz w:val="24"/>
          <w:szCs w:val="24"/>
          <w:lang w:val="en-IE"/>
        </w:rPr>
        <w:t>s</w:t>
      </w:r>
      <w:r w:rsidRPr="00CD4F28">
        <w:rPr>
          <w:rFonts w:ascii="Arial" w:hAnsi="Arial" w:cs="Arial"/>
          <w:sz w:val="24"/>
          <w:szCs w:val="24"/>
          <w:lang w:val="en-IE"/>
        </w:rPr>
        <w:t xml:space="preserve"> for 2020 are set to be ambitious yet realistic. </w:t>
      </w:r>
    </w:p>
    <w:p w14:paraId="27A2D4BA" w14:textId="0E0524FD" w:rsidR="00223903" w:rsidRPr="00CD4F28" w:rsidRDefault="00A031E7" w:rsidP="009E6B4A">
      <w:pPr>
        <w:pStyle w:val="BodyText"/>
        <w:tabs>
          <w:tab w:val="left" w:pos="0"/>
        </w:tabs>
        <w:spacing w:after="120" w:line="276" w:lineRule="auto"/>
        <w:ind w:right="284"/>
        <w:jc w:val="both"/>
        <w:rPr>
          <w:rFonts w:ascii="Arial" w:hAnsi="Arial" w:cs="Arial"/>
          <w:sz w:val="24"/>
          <w:szCs w:val="24"/>
          <w:lang w:val="en-IE"/>
        </w:rPr>
      </w:pPr>
      <w:r w:rsidRPr="00CD4F28">
        <w:rPr>
          <w:rFonts w:ascii="Arial" w:hAnsi="Arial" w:cs="Arial"/>
          <w:sz w:val="24"/>
          <w:szCs w:val="24"/>
          <w:lang w:val="en-IE"/>
        </w:rPr>
        <w:t>The Work P</w:t>
      </w:r>
      <w:r w:rsidR="00E227AE" w:rsidRPr="00CD4F28">
        <w:rPr>
          <w:rFonts w:ascii="Arial" w:hAnsi="Arial" w:cs="Arial"/>
          <w:sz w:val="24"/>
          <w:szCs w:val="24"/>
          <w:lang w:val="en-IE"/>
        </w:rPr>
        <w:t>rogramme</w:t>
      </w:r>
      <w:r w:rsidRPr="00CD4F28">
        <w:rPr>
          <w:rFonts w:ascii="Arial" w:hAnsi="Arial" w:cs="Arial"/>
          <w:sz w:val="24"/>
          <w:szCs w:val="24"/>
          <w:lang w:val="en-IE"/>
        </w:rPr>
        <w:t xml:space="preserve"> 2020 </w:t>
      </w:r>
      <w:r w:rsidR="00E227AE" w:rsidRPr="00CD4F28">
        <w:rPr>
          <w:rFonts w:ascii="Arial" w:hAnsi="Arial" w:cs="Arial"/>
          <w:sz w:val="24"/>
          <w:szCs w:val="24"/>
          <w:lang w:val="en-IE"/>
        </w:rPr>
        <w:t xml:space="preserve">foresees a number of operational and preparatory actions spanning across the </w:t>
      </w:r>
      <w:r w:rsidRPr="00CD4F28">
        <w:rPr>
          <w:rFonts w:ascii="Arial" w:hAnsi="Arial" w:cs="Arial"/>
          <w:sz w:val="24"/>
          <w:szCs w:val="24"/>
          <w:lang w:val="en-IE"/>
        </w:rPr>
        <w:t xml:space="preserve">full </w:t>
      </w:r>
      <w:r w:rsidR="00E227AE" w:rsidRPr="00CD4F28">
        <w:rPr>
          <w:rFonts w:ascii="Arial" w:hAnsi="Arial" w:cs="Arial"/>
          <w:sz w:val="24"/>
          <w:szCs w:val="24"/>
          <w:lang w:val="en-IE"/>
        </w:rPr>
        <w:t xml:space="preserve">range of </w:t>
      </w:r>
      <w:r w:rsidRPr="00CD4F28">
        <w:rPr>
          <w:rFonts w:ascii="Arial" w:hAnsi="Arial" w:cs="Arial"/>
          <w:sz w:val="24"/>
          <w:szCs w:val="24"/>
          <w:lang w:val="en-IE"/>
        </w:rPr>
        <w:t>the Authority</w:t>
      </w:r>
      <w:r w:rsidR="00E227AE" w:rsidRPr="00CD4F28">
        <w:rPr>
          <w:rFonts w:ascii="Arial" w:hAnsi="Arial" w:cs="Arial"/>
          <w:sz w:val="24"/>
          <w:szCs w:val="24"/>
          <w:lang w:val="en-IE"/>
        </w:rPr>
        <w:t xml:space="preserve">’s seven tasks, </w:t>
      </w:r>
      <w:r w:rsidR="00B82314" w:rsidRPr="00CD4F28">
        <w:rPr>
          <w:rFonts w:ascii="Arial" w:hAnsi="Arial" w:cs="Arial"/>
          <w:sz w:val="24"/>
          <w:szCs w:val="24"/>
          <w:lang w:val="en-IE"/>
        </w:rPr>
        <w:t>including in view of the transfer of the European Platform tackling undeclared work and the EURES network.</w:t>
      </w:r>
      <w:r w:rsidR="00E227AE" w:rsidRPr="00CD4F28">
        <w:rPr>
          <w:rFonts w:ascii="Arial" w:hAnsi="Arial" w:cs="Arial"/>
          <w:sz w:val="24"/>
          <w:szCs w:val="24"/>
          <w:lang w:val="en-IE"/>
        </w:rPr>
        <w:t xml:space="preserve"> </w:t>
      </w:r>
      <w:r w:rsidR="00B82314" w:rsidRPr="00CD4F28">
        <w:rPr>
          <w:rFonts w:ascii="Arial" w:hAnsi="Arial" w:cs="Arial"/>
          <w:sz w:val="24"/>
          <w:szCs w:val="24"/>
          <w:lang w:val="en-IE"/>
        </w:rPr>
        <w:t>I</w:t>
      </w:r>
      <w:r w:rsidRPr="00CD4F28">
        <w:rPr>
          <w:rFonts w:ascii="Arial" w:hAnsi="Arial" w:cs="Arial"/>
          <w:sz w:val="24"/>
          <w:szCs w:val="24"/>
          <w:lang w:val="en-IE"/>
        </w:rPr>
        <w:t>n addition</w:t>
      </w:r>
      <w:r w:rsidR="00B82314" w:rsidRPr="00CD4F28">
        <w:rPr>
          <w:rFonts w:ascii="Arial" w:hAnsi="Arial" w:cs="Arial"/>
          <w:sz w:val="24"/>
          <w:szCs w:val="24"/>
          <w:lang w:val="en-IE"/>
        </w:rPr>
        <w:t>, the Authority will</w:t>
      </w:r>
      <w:r w:rsidRPr="00CD4F28">
        <w:rPr>
          <w:rFonts w:ascii="Arial" w:hAnsi="Arial" w:cs="Arial"/>
          <w:sz w:val="24"/>
          <w:szCs w:val="24"/>
          <w:lang w:val="en-IE"/>
        </w:rPr>
        <w:t xml:space="preserve"> </w:t>
      </w:r>
      <w:r w:rsidR="00E227AE" w:rsidRPr="00CD4F28">
        <w:rPr>
          <w:rFonts w:ascii="Arial" w:hAnsi="Arial" w:cs="Arial"/>
          <w:sz w:val="24"/>
          <w:szCs w:val="24"/>
          <w:lang w:val="en-IE"/>
        </w:rPr>
        <w:t>consolidat</w:t>
      </w:r>
      <w:r w:rsidR="00B82314" w:rsidRPr="00CD4F28">
        <w:rPr>
          <w:rFonts w:ascii="Arial" w:hAnsi="Arial" w:cs="Arial"/>
          <w:sz w:val="24"/>
          <w:szCs w:val="24"/>
          <w:lang w:val="en-IE"/>
        </w:rPr>
        <w:t>e</w:t>
      </w:r>
      <w:r w:rsidR="00E227AE" w:rsidRPr="00CD4F28">
        <w:rPr>
          <w:rFonts w:ascii="Arial" w:hAnsi="Arial" w:cs="Arial"/>
          <w:sz w:val="24"/>
          <w:szCs w:val="24"/>
          <w:lang w:val="en-IE"/>
        </w:rPr>
        <w:t xml:space="preserve"> </w:t>
      </w:r>
      <w:r w:rsidR="00B82314" w:rsidRPr="00CD4F28">
        <w:rPr>
          <w:rFonts w:ascii="Arial" w:hAnsi="Arial" w:cs="Arial"/>
          <w:sz w:val="24"/>
          <w:szCs w:val="24"/>
          <w:lang w:val="en-IE"/>
        </w:rPr>
        <w:t>its</w:t>
      </w:r>
      <w:r w:rsidR="00E227AE" w:rsidRPr="00CD4F28">
        <w:rPr>
          <w:rFonts w:ascii="Arial" w:hAnsi="Arial" w:cs="Arial"/>
          <w:sz w:val="24"/>
          <w:szCs w:val="24"/>
          <w:lang w:val="en-IE"/>
        </w:rPr>
        <w:t xml:space="preserve"> administrative and governance </w:t>
      </w:r>
      <w:r w:rsidR="00260A03" w:rsidRPr="00CD4F28">
        <w:rPr>
          <w:rFonts w:ascii="Arial" w:hAnsi="Arial" w:cs="Arial"/>
          <w:sz w:val="24"/>
          <w:szCs w:val="24"/>
          <w:lang w:val="en-IE"/>
        </w:rPr>
        <w:t>structure, which</w:t>
      </w:r>
      <w:r w:rsidR="00E227AE" w:rsidRPr="00CD4F28">
        <w:rPr>
          <w:rFonts w:ascii="Arial" w:hAnsi="Arial" w:cs="Arial"/>
          <w:sz w:val="24"/>
          <w:szCs w:val="24"/>
          <w:lang w:val="en-IE"/>
        </w:rPr>
        <w:t xml:space="preserve"> will prepare for even more ambitious </w:t>
      </w:r>
      <w:r w:rsidRPr="00CD4F28">
        <w:rPr>
          <w:rFonts w:ascii="Arial" w:hAnsi="Arial" w:cs="Arial"/>
          <w:sz w:val="24"/>
          <w:szCs w:val="24"/>
          <w:lang w:val="en-IE"/>
        </w:rPr>
        <w:t xml:space="preserve">activities for the </w:t>
      </w:r>
      <w:r w:rsidR="00E227AE" w:rsidRPr="00CD4F28">
        <w:rPr>
          <w:rFonts w:ascii="Arial" w:hAnsi="Arial" w:cs="Arial"/>
          <w:sz w:val="24"/>
          <w:szCs w:val="24"/>
          <w:lang w:val="en-IE"/>
        </w:rPr>
        <w:t>year 2021.</w:t>
      </w:r>
      <w:r w:rsidR="00B82314" w:rsidRPr="00CD4F28">
        <w:rPr>
          <w:rFonts w:ascii="Arial" w:hAnsi="Arial" w:cs="Arial"/>
          <w:sz w:val="24"/>
          <w:szCs w:val="24"/>
          <w:lang w:val="en-IE"/>
        </w:rPr>
        <w:t xml:space="preserve"> </w:t>
      </w:r>
    </w:p>
    <w:p w14:paraId="6B5BF6E0" w14:textId="260F608F" w:rsidR="00BB08CC" w:rsidRPr="00CD4F28" w:rsidRDefault="00BB08CC" w:rsidP="00A73694">
      <w:pPr>
        <w:pStyle w:val="BodyText"/>
        <w:tabs>
          <w:tab w:val="left" w:pos="0"/>
        </w:tabs>
        <w:spacing w:line="276" w:lineRule="auto"/>
        <w:ind w:right="283"/>
        <w:jc w:val="both"/>
        <w:rPr>
          <w:rFonts w:ascii="Arial" w:hAnsi="Arial" w:cs="Arial"/>
          <w:sz w:val="24"/>
          <w:szCs w:val="24"/>
          <w:lang w:val="en-IE"/>
        </w:rPr>
      </w:pPr>
    </w:p>
    <w:p w14:paraId="5A86A437" w14:textId="0CA7BBF6" w:rsidR="00CF5457" w:rsidRPr="00CD4F28" w:rsidRDefault="00CF5457" w:rsidP="00A73694">
      <w:pPr>
        <w:rPr>
          <w:rFonts w:ascii="Arial" w:hAnsi="Arial" w:cs="Arial"/>
          <w:b/>
          <w:sz w:val="24"/>
          <w:szCs w:val="24"/>
          <w:lang w:val="en-IE"/>
        </w:rPr>
      </w:pPr>
      <w:bookmarkStart w:id="9" w:name="_Toc23423342"/>
      <w:bookmarkStart w:id="10" w:name="_Toc23425445"/>
    </w:p>
    <w:p w14:paraId="5C6EA671" w14:textId="28DDA81A" w:rsidR="00407102" w:rsidRPr="00CD4F28" w:rsidRDefault="00A73B46" w:rsidP="00D03DF3">
      <w:pPr>
        <w:pStyle w:val="Heading1"/>
        <w:numPr>
          <w:ilvl w:val="0"/>
          <w:numId w:val="2"/>
        </w:numPr>
      </w:pPr>
      <w:bookmarkStart w:id="11" w:name="_Toc40092189"/>
      <w:r w:rsidRPr="00CD4F28">
        <w:t>OPERATIONAL ACTIVITIES</w:t>
      </w:r>
      <w:bookmarkEnd w:id="9"/>
      <w:bookmarkEnd w:id="10"/>
      <w:bookmarkEnd w:id="11"/>
    </w:p>
    <w:p w14:paraId="526693AE" w14:textId="0D982F89" w:rsidR="00B93409" w:rsidRPr="00CD4F28" w:rsidRDefault="00B93409" w:rsidP="00A73694">
      <w:pPr>
        <w:pStyle w:val="BodyText"/>
        <w:tabs>
          <w:tab w:val="left" w:pos="0"/>
        </w:tabs>
        <w:spacing w:line="276" w:lineRule="auto"/>
        <w:ind w:right="283"/>
        <w:rPr>
          <w:rFonts w:ascii="Arial" w:hAnsi="Arial" w:cs="Arial"/>
          <w:b/>
          <w:sz w:val="24"/>
          <w:szCs w:val="24"/>
          <w:lang w:val="en-IE"/>
        </w:rPr>
      </w:pPr>
    </w:p>
    <w:p w14:paraId="60ED356B" w14:textId="380E4C0D" w:rsidR="00F30DD0" w:rsidRPr="00CD4F28" w:rsidRDefault="008F16FE"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This section</w:t>
      </w:r>
      <w:r w:rsidR="000644FE" w:rsidRPr="00CD4F28">
        <w:rPr>
          <w:rFonts w:ascii="Arial" w:hAnsi="Arial" w:cs="Arial"/>
          <w:sz w:val="24"/>
          <w:szCs w:val="24"/>
          <w:lang w:val="en-IE"/>
        </w:rPr>
        <w:t xml:space="preserve"> </w:t>
      </w:r>
      <w:r w:rsidR="002D7454" w:rsidRPr="00CD4F28">
        <w:rPr>
          <w:rFonts w:ascii="Arial" w:hAnsi="Arial" w:cs="Arial"/>
          <w:sz w:val="24"/>
          <w:szCs w:val="24"/>
          <w:lang w:val="en-IE"/>
        </w:rPr>
        <w:t xml:space="preserve">defines </w:t>
      </w:r>
      <w:r w:rsidR="001E4C05" w:rsidRPr="00CD4F28">
        <w:rPr>
          <w:rFonts w:ascii="Arial" w:hAnsi="Arial" w:cs="Arial"/>
          <w:sz w:val="24"/>
          <w:szCs w:val="24"/>
          <w:lang w:val="en-IE"/>
        </w:rPr>
        <w:t xml:space="preserve">the </w:t>
      </w:r>
      <w:r w:rsidR="002D7454" w:rsidRPr="00CD4F28">
        <w:rPr>
          <w:rFonts w:ascii="Arial" w:hAnsi="Arial" w:cs="Arial"/>
          <w:sz w:val="24"/>
          <w:szCs w:val="24"/>
          <w:lang w:val="en-IE"/>
        </w:rPr>
        <w:t xml:space="preserve">actions to be carried out </w:t>
      </w:r>
      <w:r w:rsidR="001E4C05" w:rsidRPr="00CD4F28">
        <w:rPr>
          <w:rFonts w:ascii="Arial" w:hAnsi="Arial" w:cs="Arial"/>
          <w:sz w:val="24"/>
          <w:szCs w:val="24"/>
          <w:lang w:val="en-IE"/>
        </w:rPr>
        <w:t xml:space="preserve">by the Authority </w:t>
      </w:r>
      <w:r w:rsidR="002D7454" w:rsidRPr="00CD4F28">
        <w:rPr>
          <w:rFonts w:ascii="Arial" w:hAnsi="Arial" w:cs="Arial"/>
          <w:sz w:val="24"/>
          <w:szCs w:val="24"/>
          <w:lang w:val="en-IE"/>
        </w:rPr>
        <w:t>during the year 2020</w:t>
      </w:r>
      <w:r w:rsidR="000644FE" w:rsidRPr="00CD4F28">
        <w:rPr>
          <w:rFonts w:ascii="Arial" w:hAnsi="Arial" w:cs="Arial"/>
          <w:sz w:val="24"/>
          <w:szCs w:val="24"/>
          <w:lang w:val="en-IE"/>
        </w:rPr>
        <w:t xml:space="preserve"> </w:t>
      </w:r>
      <w:r w:rsidR="00DD6B93" w:rsidRPr="00CD4F28">
        <w:rPr>
          <w:rFonts w:ascii="Arial" w:hAnsi="Arial" w:cs="Arial"/>
          <w:sz w:val="24"/>
          <w:szCs w:val="24"/>
          <w:lang w:val="en-IE"/>
        </w:rPr>
        <w:t xml:space="preserve">in accordance with </w:t>
      </w:r>
      <w:r w:rsidR="003468E1" w:rsidRPr="00CD4F28">
        <w:rPr>
          <w:rFonts w:ascii="Arial" w:hAnsi="Arial" w:cs="Arial"/>
          <w:sz w:val="24"/>
          <w:szCs w:val="24"/>
          <w:lang w:val="en-IE"/>
        </w:rPr>
        <w:t>the</w:t>
      </w:r>
      <w:r w:rsidR="00DD6B93" w:rsidRPr="00CD4F28">
        <w:rPr>
          <w:rFonts w:ascii="Arial" w:hAnsi="Arial" w:cs="Arial"/>
          <w:sz w:val="24"/>
          <w:szCs w:val="24"/>
          <w:lang w:val="en-IE"/>
        </w:rPr>
        <w:t xml:space="preserve"> strategic priorities </w:t>
      </w:r>
      <w:r w:rsidR="003468E1" w:rsidRPr="00CD4F28">
        <w:rPr>
          <w:rFonts w:ascii="Arial" w:hAnsi="Arial" w:cs="Arial"/>
          <w:sz w:val="24"/>
          <w:szCs w:val="24"/>
          <w:lang w:val="en-IE"/>
        </w:rPr>
        <w:t>defined by the Management Board</w:t>
      </w:r>
      <w:r w:rsidR="00DD6B93" w:rsidRPr="00CD4F28">
        <w:rPr>
          <w:rFonts w:ascii="Arial" w:hAnsi="Arial" w:cs="Arial"/>
          <w:sz w:val="24"/>
          <w:szCs w:val="24"/>
          <w:lang w:val="en-IE"/>
        </w:rPr>
        <w:t xml:space="preserve"> and </w:t>
      </w:r>
      <w:r w:rsidR="000644FE" w:rsidRPr="00CD4F28">
        <w:rPr>
          <w:rFonts w:ascii="Arial" w:hAnsi="Arial" w:cs="Arial"/>
          <w:sz w:val="24"/>
          <w:szCs w:val="24"/>
          <w:lang w:val="en-IE"/>
        </w:rPr>
        <w:t xml:space="preserve">within the limits set by its budget and human resources. </w:t>
      </w:r>
    </w:p>
    <w:p w14:paraId="101DB0EB" w14:textId="1D532908" w:rsidR="00B36022" w:rsidRPr="00CD4F28" w:rsidRDefault="00B36022" w:rsidP="00A73694">
      <w:pPr>
        <w:pStyle w:val="BodyText"/>
        <w:tabs>
          <w:tab w:val="left" w:pos="0"/>
        </w:tabs>
        <w:spacing w:line="276" w:lineRule="auto"/>
        <w:ind w:right="283"/>
        <w:jc w:val="both"/>
        <w:rPr>
          <w:rFonts w:ascii="Arial" w:hAnsi="Arial" w:cs="Arial"/>
          <w:b/>
          <w:sz w:val="24"/>
          <w:szCs w:val="24"/>
          <w:lang w:val="en-IE"/>
        </w:rPr>
      </w:pPr>
    </w:p>
    <w:p w14:paraId="3FC19F50" w14:textId="0C5334CB" w:rsidR="00B36022" w:rsidRPr="00CD4F28" w:rsidRDefault="00B36022"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Work Programme takes inspiration from the Final Report of the European Advisory Group on the European Labour Authority</w:t>
      </w:r>
      <w:r w:rsidRPr="00CD4F28">
        <w:rPr>
          <w:rStyle w:val="FootnoteReference"/>
          <w:rFonts w:ascii="Arial" w:hAnsi="Arial" w:cs="Arial"/>
          <w:sz w:val="24"/>
          <w:szCs w:val="24"/>
          <w:lang w:val="en-IE"/>
        </w:rPr>
        <w:footnoteReference w:id="3"/>
      </w:r>
      <w:r w:rsidRPr="00CD4F28">
        <w:rPr>
          <w:rFonts w:ascii="Arial" w:hAnsi="Arial" w:cs="Arial"/>
          <w:sz w:val="24"/>
          <w:szCs w:val="24"/>
          <w:lang w:val="en-IE"/>
        </w:rPr>
        <w:t xml:space="preserve"> and from the results of the survey that was circulated amongst the Management Board members as a follow-up from the first Board meeting. </w:t>
      </w:r>
    </w:p>
    <w:p w14:paraId="0209A42C" w14:textId="77777777" w:rsidR="00B36022" w:rsidRPr="00CD4F28" w:rsidRDefault="00B36022" w:rsidP="00A73694">
      <w:pPr>
        <w:pStyle w:val="BodyText"/>
        <w:tabs>
          <w:tab w:val="left" w:pos="0"/>
        </w:tabs>
        <w:spacing w:line="276" w:lineRule="auto"/>
        <w:ind w:right="283"/>
        <w:jc w:val="both"/>
        <w:rPr>
          <w:rFonts w:ascii="Arial" w:hAnsi="Arial" w:cs="Arial"/>
          <w:sz w:val="24"/>
          <w:szCs w:val="24"/>
          <w:lang w:val="en-IE"/>
        </w:rPr>
      </w:pPr>
    </w:p>
    <w:p w14:paraId="46EBD2DF" w14:textId="1119B3A3" w:rsidR="00B36022" w:rsidRPr="00CD4F28" w:rsidRDefault="00B36022"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In this light, the two tasks of “</w:t>
      </w:r>
      <w:r w:rsidRPr="00CD4F28">
        <w:rPr>
          <w:rFonts w:ascii="Arial" w:hAnsi="Arial" w:cs="Arial"/>
          <w:i/>
          <w:sz w:val="24"/>
          <w:szCs w:val="24"/>
          <w:lang w:val="en-IE"/>
        </w:rPr>
        <w:t>Facilitating access to information on labour mobility</w:t>
      </w:r>
      <w:r w:rsidRPr="00CD4F28">
        <w:rPr>
          <w:rFonts w:ascii="Arial" w:hAnsi="Arial" w:cs="Arial"/>
          <w:sz w:val="24"/>
          <w:szCs w:val="24"/>
          <w:lang w:val="en-IE"/>
        </w:rPr>
        <w:t xml:space="preserve">” and </w:t>
      </w:r>
      <w:r w:rsidRPr="00CD4F28">
        <w:rPr>
          <w:rFonts w:ascii="Arial" w:hAnsi="Arial" w:cs="Arial"/>
          <w:i/>
          <w:sz w:val="24"/>
          <w:szCs w:val="24"/>
          <w:lang w:val="en-IE"/>
        </w:rPr>
        <w:t xml:space="preserve">“Coordination and support of concerted and joint inspections” </w:t>
      </w:r>
      <w:r w:rsidRPr="00CD4F28">
        <w:rPr>
          <w:rFonts w:ascii="Arial" w:hAnsi="Arial" w:cs="Arial"/>
          <w:sz w:val="24"/>
          <w:szCs w:val="24"/>
          <w:lang w:val="en-IE"/>
        </w:rPr>
        <w:t>represent priorities of action for the Authority</w:t>
      </w:r>
      <w:r w:rsidR="003468E1" w:rsidRPr="00CD4F28">
        <w:rPr>
          <w:rFonts w:ascii="Arial" w:hAnsi="Arial" w:cs="Arial"/>
          <w:sz w:val="24"/>
          <w:szCs w:val="24"/>
          <w:lang w:val="en-IE"/>
        </w:rPr>
        <w:t xml:space="preserve"> and resources are allocated accordingly</w:t>
      </w:r>
      <w:r w:rsidRPr="00CD4F28">
        <w:rPr>
          <w:rFonts w:ascii="Arial" w:hAnsi="Arial" w:cs="Arial"/>
          <w:sz w:val="24"/>
          <w:szCs w:val="24"/>
          <w:lang w:val="en-IE"/>
        </w:rPr>
        <w:t xml:space="preserve">. </w:t>
      </w:r>
    </w:p>
    <w:p w14:paraId="220D3E19" w14:textId="3C881292" w:rsidR="00327064" w:rsidRPr="00CD4F28" w:rsidRDefault="00327064"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br/>
        <w:t>The Authority will undertake preparatory actions on all other tasks also with a view to supporting activities carried out in the framework of priority tasks and to focusing on training needs of the Authority’s own staff, including National Liaison Officers.</w:t>
      </w:r>
    </w:p>
    <w:p w14:paraId="4B3D4614" w14:textId="2EF9A21C" w:rsidR="00327064" w:rsidRPr="00CD4F28" w:rsidRDefault="00327064" w:rsidP="00A73694">
      <w:pPr>
        <w:pStyle w:val="BodyText"/>
        <w:tabs>
          <w:tab w:val="left" w:pos="0"/>
        </w:tabs>
        <w:spacing w:line="276" w:lineRule="auto"/>
        <w:ind w:right="283"/>
        <w:jc w:val="both"/>
        <w:rPr>
          <w:rFonts w:ascii="Arial" w:hAnsi="Arial" w:cs="Arial"/>
          <w:sz w:val="24"/>
          <w:szCs w:val="24"/>
          <w:lang w:val="en-IE"/>
        </w:rPr>
      </w:pPr>
    </w:p>
    <w:p w14:paraId="39CCE26A" w14:textId="391CF233" w:rsidR="00327064" w:rsidRPr="00CD4F28" w:rsidRDefault="00327064"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While the transfer of the EURES network and the European Platform tackling undeclared work will take place starting from 2021, this Work Programme encompasses a number of initiatives aimed at ensuring the participation of the Authority in administrative processes and meetings in order to promote appropriate opportunities for exchange with the stakeholders. </w:t>
      </w:r>
    </w:p>
    <w:p w14:paraId="69EF7B8F" w14:textId="30C4C151" w:rsidR="003F5F00" w:rsidRPr="00CD4F28" w:rsidRDefault="003F5F00" w:rsidP="00A73694">
      <w:pPr>
        <w:pStyle w:val="BodyText"/>
        <w:tabs>
          <w:tab w:val="left" w:pos="0"/>
        </w:tabs>
        <w:spacing w:line="276" w:lineRule="auto"/>
        <w:ind w:right="283"/>
        <w:jc w:val="both"/>
        <w:rPr>
          <w:rFonts w:ascii="Arial" w:hAnsi="Arial" w:cs="Arial"/>
          <w:sz w:val="24"/>
          <w:szCs w:val="24"/>
          <w:lang w:val="en-IE"/>
        </w:rPr>
      </w:pPr>
    </w:p>
    <w:p w14:paraId="07391AF1" w14:textId="47D050CE" w:rsidR="003F5F00" w:rsidRPr="00CD4F28" w:rsidRDefault="003F5F0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w:t>
      </w:r>
      <w:r w:rsidRPr="00CD4F28">
        <w:rPr>
          <w:rFonts w:ascii="Arial" w:hAnsi="Arial" w:cs="Arial"/>
          <w:b/>
          <w:sz w:val="24"/>
          <w:szCs w:val="24"/>
          <w:lang w:val="en-IE"/>
        </w:rPr>
        <w:t>conference on the first year</w:t>
      </w:r>
      <w:r w:rsidRPr="00CD4F28">
        <w:rPr>
          <w:rFonts w:ascii="Arial" w:hAnsi="Arial" w:cs="Arial"/>
          <w:sz w:val="24"/>
          <w:szCs w:val="24"/>
          <w:lang w:val="en-IE"/>
        </w:rPr>
        <w:t xml:space="preserve"> of activity</w:t>
      </w:r>
      <w:r w:rsidRPr="00CD4F28">
        <w:rPr>
          <w:rStyle w:val="FootnoteReference"/>
          <w:rFonts w:ascii="Arial" w:hAnsi="Arial" w:cs="Arial"/>
          <w:sz w:val="24"/>
          <w:szCs w:val="24"/>
          <w:lang w:val="en-IE"/>
        </w:rPr>
        <w:footnoteReference w:id="4"/>
      </w:r>
      <w:r w:rsidRPr="00CD4F28">
        <w:rPr>
          <w:rFonts w:ascii="Arial" w:hAnsi="Arial" w:cs="Arial"/>
          <w:sz w:val="24"/>
          <w:szCs w:val="24"/>
          <w:lang w:val="en-IE"/>
        </w:rPr>
        <w:t xml:space="preserve"> of the Authority will be the opportunity to take stock of the results achieved and to programme ahead for the next period. </w:t>
      </w:r>
    </w:p>
    <w:p w14:paraId="6D26DF4C" w14:textId="1C881742" w:rsidR="00B93409" w:rsidRPr="00CD4F28" w:rsidRDefault="00B93409" w:rsidP="00A73694">
      <w:pPr>
        <w:pStyle w:val="BodyText"/>
        <w:tabs>
          <w:tab w:val="left" w:pos="0"/>
        </w:tabs>
        <w:spacing w:line="276" w:lineRule="auto"/>
        <w:ind w:right="283"/>
        <w:jc w:val="both"/>
        <w:rPr>
          <w:rFonts w:ascii="Arial" w:hAnsi="Arial" w:cs="Arial"/>
          <w:sz w:val="24"/>
          <w:szCs w:val="24"/>
          <w:lang w:val="en-IE"/>
        </w:rPr>
      </w:pPr>
    </w:p>
    <w:p w14:paraId="2BF0EEB5" w14:textId="308EA836" w:rsidR="00B93409" w:rsidRPr="00CD4F28" w:rsidRDefault="00F56B4C" w:rsidP="00F56B4C">
      <w:pPr>
        <w:pStyle w:val="Heading1"/>
      </w:pPr>
      <w:bookmarkStart w:id="12" w:name="_Toc23423343"/>
      <w:bookmarkStart w:id="13" w:name="_Toc23425446"/>
      <w:bookmarkStart w:id="14" w:name="_Toc40092190"/>
      <w:r>
        <w:t xml:space="preserve">2.1 </w:t>
      </w:r>
      <w:r w:rsidR="00B93409" w:rsidRPr="00CD4F28">
        <w:t>Facilitating access to information on labour mobility</w:t>
      </w:r>
      <w:bookmarkEnd w:id="12"/>
      <w:bookmarkEnd w:id="13"/>
      <w:bookmarkEnd w:id="14"/>
    </w:p>
    <w:p w14:paraId="7F6F6862" w14:textId="77777777" w:rsidR="008B18D5" w:rsidRPr="00CD4F28" w:rsidRDefault="008B18D5" w:rsidP="00A73694">
      <w:pPr>
        <w:pStyle w:val="BodyText"/>
        <w:tabs>
          <w:tab w:val="left" w:pos="0"/>
        </w:tabs>
        <w:spacing w:line="276" w:lineRule="auto"/>
        <w:ind w:right="283"/>
        <w:rPr>
          <w:rFonts w:ascii="Arial" w:hAnsi="Arial" w:cs="Arial"/>
          <w:sz w:val="24"/>
          <w:szCs w:val="24"/>
          <w:lang w:val="en-IE"/>
        </w:rPr>
      </w:pPr>
    </w:p>
    <w:p w14:paraId="04E4BEE1" w14:textId="54A5CE06" w:rsidR="00A45870" w:rsidRPr="00CD4F28" w:rsidRDefault="00A4587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Facilitating access to information on labour mobility is seen as a </w:t>
      </w:r>
      <w:r w:rsidR="001E4C05" w:rsidRPr="00CD4F28">
        <w:rPr>
          <w:rFonts w:ascii="Arial" w:hAnsi="Arial" w:cs="Arial"/>
          <w:sz w:val="24"/>
          <w:szCs w:val="24"/>
          <w:lang w:val="en-IE"/>
        </w:rPr>
        <w:t xml:space="preserve">priority </w:t>
      </w:r>
      <w:r w:rsidRPr="00CD4F28">
        <w:rPr>
          <w:rFonts w:ascii="Arial" w:hAnsi="Arial" w:cs="Arial"/>
          <w:sz w:val="24"/>
          <w:szCs w:val="24"/>
          <w:lang w:val="en-IE"/>
        </w:rPr>
        <w:t xml:space="preserve">task of </w:t>
      </w:r>
      <w:r w:rsidR="001E4C05" w:rsidRPr="00CD4F28">
        <w:rPr>
          <w:rFonts w:ascii="Arial" w:hAnsi="Arial" w:cs="Arial"/>
          <w:sz w:val="24"/>
          <w:szCs w:val="24"/>
          <w:lang w:val="en-IE"/>
        </w:rPr>
        <w:t xml:space="preserve">the Authority to bring important </w:t>
      </w:r>
      <w:r w:rsidRPr="00CD4F28">
        <w:rPr>
          <w:rFonts w:ascii="Arial" w:hAnsi="Arial" w:cs="Arial"/>
          <w:sz w:val="24"/>
          <w:szCs w:val="24"/>
          <w:lang w:val="en-IE"/>
        </w:rPr>
        <w:t xml:space="preserve">added value </w:t>
      </w:r>
      <w:r w:rsidR="001E4C05" w:rsidRPr="00CD4F28">
        <w:rPr>
          <w:rFonts w:ascii="Arial" w:hAnsi="Arial" w:cs="Arial"/>
          <w:sz w:val="24"/>
          <w:szCs w:val="24"/>
          <w:lang w:val="en-IE"/>
        </w:rPr>
        <w:t xml:space="preserve">as soon as possible, </w:t>
      </w:r>
      <w:r w:rsidRPr="00CD4F28">
        <w:rPr>
          <w:rFonts w:ascii="Arial" w:hAnsi="Arial" w:cs="Arial"/>
          <w:sz w:val="24"/>
          <w:szCs w:val="24"/>
          <w:lang w:val="en-IE"/>
        </w:rPr>
        <w:t xml:space="preserve">and </w:t>
      </w:r>
      <w:r w:rsidR="001E4C05" w:rsidRPr="00CD4F28">
        <w:rPr>
          <w:rFonts w:ascii="Arial" w:hAnsi="Arial" w:cs="Arial"/>
          <w:sz w:val="24"/>
          <w:szCs w:val="24"/>
          <w:lang w:val="en-IE"/>
        </w:rPr>
        <w:t xml:space="preserve">to </w:t>
      </w:r>
      <w:r w:rsidRPr="00CD4F28">
        <w:rPr>
          <w:rFonts w:ascii="Arial" w:hAnsi="Arial" w:cs="Arial"/>
          <w:sz w:val="24"/>
          <w:szCs w:val="24"/>
          <w:lang w:val="en-IE"/>
        </w:rPr>
        <w:t>provid</w:t>
      </w:r>
      <w:r w:rsidR="001E4C05" w:rsidRPr="00CD4F28">
        <w:rPr>
          <w:rFonts w:ascii="Arial" w:hAnsi="Arial" w:cs="Arial"/>
          <w:sz w:val="24"/>
          <w:szCs w:val="24"/>
          <w:lang w:val="en-IE"/>
        </w:rPr>
        <w:t>e</w:t>
      </w:r>
      <w:r w:rsidRPr="00CD4F28">
        <w:rPr>
          <w:rFonts w:ascii="Arial" w:hAnsi="Arial" w:cs="Arial"/>
          <w:sz w:val="24"/>
          <w:szCs w:val="24"/>
          <w:lang w:val="en-IE"/>
        </w:rPr>
        <w:t xml:space="preserve"> a basis for other tasks.</w:t>
      </w:r>
    </w:p>
    <w:p w14:paraId="1A27A48F" w14:textId="77777777" w:rsidR="00A45870" w:rsidRPr="00CD4F28" w:rsidRDefault="00A45870" w:rsidP="00A73694">
      <w:pPr>
        <w:pStyle w:val="BodyText"/>
        <w:tabs>
          <w:tab w:val="left" w:pos="0"/>
        </w:tabs>
        <w:spacing w:line="276" w:lineRule="auto"/>
        <w:ind w:right="283"/>
        <w:jc w:val="both"/>
        <w:rPr>
          <w:rFonts w:ascii="Arial" w:hAnsi="Arial" w:cs="Arial"/>
          <w:sz w:val="24"/>
          <w:szCs w:val="24"/>
          <w:lang w:val="en-IE"/>
        </w:rPr>
      </w:pPr>
    </w:p>
    <w:p w14:paraId="53D76901" w14:textId="665927C9" w:rsidR="008B18D5" w:rsidRPr="00CD4F28" w:rsidRDefault="008B18D5"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Authority is set to improve the availability, quality and accessibility of information offered to individuals, employers and social partner organisations regarding the rights and obligations stemming from EU legislation on labour mobility and social security coordination</w:t>
      </w:r>
      <w:r w:rsidR="00691F92" w:rsidRPr="00CD4F28">
        <w:rPr>
          <w:rFonts w:ascii="Arial" w:hAnsi="Arial" w:cs="Arial"/>
          <w:sz w:val="24"/>
          <w:szCs w:val="24"/>
          <w:lang w:val="en-IE"/>
        </w:rPr>
        <w:t xml:space="preserve"> (see box)</w:t>
      </w:r>
      <w:r w:rsidRPr="00CD4F28">
        <w:rPr>
          <w:rFonts w:ascii="Arial" w:hAnsi="Arial" w:cs="Arial"/>
          <w:sz w:val="24"/>
          <w:szCs w:val="24"/>
          <w:lang w:val="en-IE"/>
        </w:rPr>
        <w:t>.</w:t>
      </w:r>
    </w:p>
    <w:p w14:paraId="05582BBB" w14:textId="47A62E4C" w:rsidR="00EA3D22" w:rsidRPr="00CD4F28" w:rsidRDefault="00EA3D22" w:rsidP="00A73694">
      <w:pPr>
        <w:pStyle w:val="BodyText"/>
        <w:tabs>
          <w:tab w:val="left" w:pos="0"/>
        </w:tabs>
        <w:spacing w:line="276" w:lineRule="auto"/>
        <w:ind w:right="283"/>
        <w:jc w:val="both"/>
        <w:rPr>
          <w:rFonts w:ascii="Arial" w:hAnsi="Arial" w:cs="Arial"/>
          <w:sz w:val="24"/>
          <w:szCs w:val="24"/>
          <w:lang w:val="en-IE"/>
        </w:rPr>
      </w:pPr>
    </w:p>
    <w:p w14:paraId="52FD4168" w14:textId="77777777" w:rsidR="008B18D5" w:rsidRPr="00CD4F28" w:rsidRDefault="008B18D5" w:rsidP="00A73694">
      <w:pPr>
        <w:pStyle w:val="BodyText"/>
        <w:tabs>
          <w:tab w:val="left" w:pos="0"/>
        </w:tabs>
        <w:spacing w:line="276" w:lineRule="auto"/>
        <w:ind w:right="283"/>
        <w:rPr>
          <w:rFonts w:ascii="Arial"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80"/>
      </w:tblGrid>
      <w:tr w:rsidR="00E813D6" w:rsidRPr="00CD4F28" w14:paraId="4C99A335" w14:textId="77777777" w:rsidTr="003B260F">
        <w:tc>
          <w:tcPr>
            <w:tcW w:w="9180" w:type="dxa"/>
            <w:shd w:val="clear" w:color="auto" w:fill="F2F2F2" w:themeFill="background1" w:themeFillShade="F2"/>
          </w:tcPr>
          <w:p w14:paraId="46792BA7" w14:textId="5731C7D7" w:rsidR="00E813D6" w:rsidRPr="00CD4F28" w:rsidRDefault="00E813D6" w:rsidP="00A73694">
            <w:pPr>
              <w:pStyle w:val="BodyText"/>
              <w:tabs>
                <w:tab w:val="left" w:pos="0"/>
              </w:tabs>
              <w:spacing w:line="276" w:lineRule="auto"/>
              <w:ind w:right="283"/>
              <w:rPr>
                <w:rFonts w:ascii="Arial" w:hAnsi="Arial" w:cs="Arial"/>
                <w:sz w:val="24"/>
                <w:szCs w:val="24"/>
                <w:lang w:val="en-IE"/>
              </w:rPr>
            </w:pPr>
            <w:r w:rsidRPr="00CD4F28">
              <w:rPr>
                <w:rFonts w:ascii="Arial" w:hAnsi="Arial" w:cs="Arial"/>
                <w:b/>
                <w:sz w:val="24"/>
                <w:szCs w:val="24"/>
                <w:lang w:val="en-IE"/>
              </w:rPr>
              <w:t>Article 5</w:t>
            </w:r>
            <w:r w:rsidRPr="00CD4F28">
              <w:rPr>
                <w:rFonts w:ascii="Arial" w:hAnsi="Arial" w:cs="Arial"/>
                <w:sz w:val="24"/>
                <w:szCs w:val="24"/>
                <w:lang w:val="en-IE"/>
              </w:rPr>
              <w:t xml:space="preserve"> lists the following actions to be taken by the Authority in this respect:</w:t>
            </w:r>
          </w:p>
          <w:p w14:paraId="318C7252" w14:textId="256B9E28"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Contribute to the provision of information on </w:t>
            </w:r>
            <w:r w:rsidR="001E4C05" w:rsidRPr="00CD4F28">
              <w:rPr>
                <w:rFonts w:ascii="Arial" w:hAnsi="Arial" w:cs="Arial"/>
                <w:sz w:val="24"/>
                <w:szCs w:val="24"/>
                <w:lang w:val="en-IE"/>
              </w:rPr>
              <w:t xml:space="preserve">labour </w:t>
            </w:r>
            <w:r w:rsidRPr="00CD4F28">
              <w:rPr>
                <w:rFonts w:ascii="Arial" w:hAnsi="Arial" w:cs="Arial"/>
                <w:sz w:val="24"/>
                <w:szCs w:val="24"/>
                <w:lang w:val="en-IE"/>
              </w:rPr>
              <w:t>mobility rights and obligations, including via the single digital gateway</w:t>
            </w:r>
            <w:r w:rsidRPr="00CD4F28">
              <w:rPr>
                <w:rFonts w:ascii="Arial" w:hAnsi="Arial" w:cs="Arial"/>
                <w:sz w:val="24"/>
                <w:szCs w:val="24"/>
                <w:vertAlign w:val="superscript"/>
                <w:lang w:val="en-IE"/>
              </w:rPr>
              <w:footnoteReference w:id="5"/>
            </w:r>
            <w:r w:rsidRPr="00CD4F28">
              <w:rPr>
                <w:rFonts w:ascii="Arial" w:hAnsi="Arial" w:cs="Arial"/>
                <w:sz w:val="24"/>
                <w:szCs w:val="24"/>
                <w:lang w:val="en-IE"/>
              </w:rPr>
              <w:t>;</w:t>
            </w:r>
          </w:p>
          <w:p w14:paraId="740A86A8" w14:textId="77777777"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Support Member States in the application of the EURES Regulation;</w:t>
            </w:r>
          </w:p>
          <w:p w14:paraId="52DCD730" w14:textId="7B6BAA68"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Support Member States in complying with the obligations on the access </w:t>
            </w:r>
            <w:r w:rsidR="001E4C05" w:rsidRPr="00CD4F28">
              <w:rPr>
                <w:rFonts w:ascii="Arial" w:hAnsi="Arial" w:cs="Arial"/>
                <w:sz w:val="24"/>
                <w:szCs w:val="24"/>
                <w:lang w:val="en-IE"/>
              </w:rPr>
              <w:t xml:space="preserve">to </w:t>
            </w:r>
            <w:r w:rsidRPr="00CD4F28">
              <w:rPr>
                <w:rFonts w:ascii="Arial" w:hAnsi="Arial" w:cs="Arial"/>
                <w:sz w:val="24"/>
                <w:szCs w:val="24"/>
                <w:lang w:val="en-IE"/>
              </w:rPr>
              <w:t>and dissemination of information related to free movement of workers, posting of workers, living and working conditions (EURES), social security coordination;</w:t>
            </w:r>
          </w:p>
          <w:p w14:paraId="7D382586" w14:textId="5B1F10F4"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Support Member States in improving the accuracy, completeness and user-friendliness of </w:t>
            </w:r>
            <w:r w:rsidR="001E4C05" w:rsidRPr="00CD4F28">
              <w:rPr>
                <w:rFonts w:ascii="Arial" w:hAnsi="Arial" w:cs="Arial"/>
                <w:sz w:val="24"/>
                <w:szCs w:val="24"/>
                <w:lang w:val="en-IE"/>
              </w:rPr>
              <w:t xml:space="preserve">national </w:t>
            </w:r>
            <w:r w:rsidRPr="00CD4F28">
              <w:rPr>
                <w:rFonts w:ascii="Arial" w:hAnsi="Arial" w:cs="Arial"/>
                <w:sz w:val="24"/>
                <w:szCs w:val="24"/>
                <w:lang w:val="en-IE"/>
              </w:rPr>
              <w:t>information</w:t>
            </w:r>
            <w:r w:rsidR="001E4C05" w:rsidRPr="00CD4F28">
              <w:rPr>
                <w:rFonts w:ascii="Arial" w:hAnsi="Arial" w:cs="Arial"/>
                <w:sz w:val="24"/>
                <w:szCs w:val="24"/>
                <w:lang w:val="en-IE"/>
              </w:rPr>
              <w:t xml:space="preserve"> sources</w:t>
            </w:r>
            <w:r w:rsidRPr="00CD4F28">
              <w:rPr>
                <w:rFonts w:ascii="Arial" w:hAnsi="Arial" w:cs="Arial"/>
                <w:sz w:val="24"/>
                <w:szCs w:val="24"/>
                <w:lang w:val="en-IE"/>
              </w:rPr>
              <w:t>;</w:t>
            </w:r>
          </w:p>
          <w:p w14:paraId="13889062" w14:textId="77777777"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Support the streamlining of the provision of information by Member States;</w:t>
            </w:r>
          </w:p>
          <w:p w14:paraId="13DE2762" w14:textId="5E699511"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Facilitate cooperation between the ‘national bodies’ on information, guidance and assistance set up in accordance with the enforcement Directive on free movement of workers.</w:t>
            </w:r>
          </w:p>
        </w:tc>
      </w:tr>
    </w:tbl>
    <w:p w14:paraId="2446B22C" w14:textId="77777777" w:rsidR="007C23D2" w:rsidRPr="00CD4F28" w:rsidRDefault="007C23D2" w:rsidP="00A73694">
      <w:pPr>
        <w:pStyle w:val="BodyText"/>
        <w:tabs>
          <w:tab w:val="left" w:pos="0"/>
        </w:tabs>
        <w:spacing w:line="276" w:lineRule="auto"/>
        <w:ind w:right="283"/>
        <w:jc w:val="both"/>
        <w:rPr>
          <w:rFonts w:ascii="Arial" w:hAnsi="Arial" w:cs="Arial"/>
          <w:sz w:val="24"/>
          <w:szCs w:val="24"/>
          <w:lang w:val="en-IE"/>
        </w:rPr>
      </w:pPr>
    </w:p>
    <w:p w14:paraId="55FFB2A0" w14:textId="77777777" w:rsidR="000D2F30" w:rsidRPr="00CD4F28" w:rsidRDefault="000D2F30" w:rsidP="00A73694">
      <w:pPr>
        <w:pStyle w:val="BodyText"/>
        <w:tabs>
          <w:tab w:val="left" w:pos="0"/>
        </w:tabs>
        <w:spacing w:line="276" w:lineRule="auto"/>
        <w:ind w:right="283"/>
        <w:rPr>
          <w:rFonts w:ascii="Arial" w:hAnsi="Arial" w:cs="Arial"/>
          <w:sz w:val="24"/>
          <w:szCs w:val="24"/>
          <w:u w:val="single"/>
          <w:lang w:val="en-IE"/>
        </w:rPr>
      </w:pPr>
      <w:r w:rsidRPr="00CD4F28">
        <w:rPr>
          <w:rFonts w:ascii="Arial" w:hAnsi="Arial" w:cs="Arial"/>
          <w:sz w:val="24"/>
          <w:szCs w:val="24"/>
          <w:u w:val="single"/>
          <w:lang w:val="en-IE"/>
        </w:rPr>
        <w:t>Key objective</w:t>
      </w:r>
    </w:p>
    <w:p w14:paraId="4D74974A" w14:textId="77777777" w:rsidR="000D2F30" w:rsidRPr="00CD4F28" w:rsidRDefault="000D2F30" w:rsidP="00A73694">
      <w:pPr>
        <w:pStyle w:val="BodyText"/>
        <w:tabs>
          <w:tab w:val="left" w:pos="0"/>
        </w:tabs>
        <w:spacing w:line="276" w:lineRule="auto"/>
        <w:ind w:right="283"/>
        <w:rPr>
          <w:rFonts w:ascii="Arial" w:hAnsi="Arial" w:cs="Arial"/>
          <w:b/>
          <w:sz w:val="24"/>
          <w:szCs w:val="24"/>
          <w:lang w:val="en-IE"/>
        </w:rPr>
      </w:pPr>
    </w:p>
    <w:p w14:paraId="0CDCD2B2" w14:textId="7A342A68" w:rsidR="000D2F30" w:rsidRPr="00CD4F28" w:rsidRDefault="000D2F3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set up a structure to identify and address </w:t>
      </w:r>
      <w:r w:rsidR="00DE4019" w:rsidRPr="00CD4F28">
        <w:rPr>
          <w:rFonts w:ascii="Arial" w:hAnsi="Arial" w:cs="Arial"/>
          <w:sz w:val="24"/>
          <w:szCs w:val="24"/>
          <w:lang w:val="en-IE"/>
        </w:rPr>
        <w:t>outstanding challenges relating to the information provided to citizens and employers</w:t>
      </w:r>
      <w:r w:rsidRPr="00CD4F28">
        <w:rPr>
          <w:rFonts w:ascii="Arial" w:hAnsi="Arial" w:cs="Arial"/>
          <w:sz w:val="24"/>
          <w:szCs w:val="24"/>
          <w:lang w:val="en-IE"/>
        </w:rPr>
        <w:t xml:space="preserve"> </w:t>
      </w:r>
      <w:r w:rsidR="00DE4019" w:rsidRPr="00CD4F28">
        <w:rPr>
          <w:rFonts w:ascii="Arial" w:hAnsi="Arial" w:cs="Arial"/>
          <w:sz w:val="24"/>
          <w:szCs w:val="24"/>
          <w:lang w:val="en-IE"/>
        </w:rPr>
        <w:t xml:space="preserve">at EU and national level </w:t>
      </w:r>
      <w:r w:rsidRPr="00CD4F28">
        <w:rPr>
          <w:rFonts w:ascii="Arial" w:hAnsi="Arial" w:cs="Arial"/>
          <w:sz w:val="24"/>
          <w:szCs w:val="24"/>
          <w:lang w:val="en-IE"/>
        </w:rPr>
        <w:t>across the spectrum of labour mobility areas</w:t>
      </w:r>
      <w:r w:rsidR="000A6524" w:rsidRPr="00CD4F28">
        <w:rPr>
          <w:rFonts w:ascii="Arial" w:hAnsi="Arial" w:cs="Arial"/>
          <w:sz w:val="24"/>
          <w:szCs w:val="24"/>
          <w:lang w:val="en-IE"/>
        </w:rPr>
        <w:t xml:space="preserve"> </w:t>
      </w:r>
      <w:r w:rsidR="00761457" w:rsidRPr="00CD4F28">
        <w:rPr>
          <w:rFonts w:ascii="Arial" w:hAnsi="Arial" w:cs="Arial"/>
          <w:sz w:val="24"/>
          <w:szCs w:val="24"/>
          <w:lang w:val="en-IE"/>
        </w:rPr>
        <w:t>and prepare for further initiatives to be carried out beyond 2020</w:t>
      </w:r>
      <w:r w:rsidRPr="00CD4F28">
        <w:rPr>
          <w:rFonts w:ascii="Arial" w:hAnsi="Arial" w:cs="Arial"/>
          <w:sz w:val="24"/>
          <w:szCs w:val="24"/>
          <w:lang w:val="en-IE"/>
        </w:rPr>
        <w:t xml:space="preserve">. </w:t>
      </w:r>
    </w:p>
    <w:p w14:paraId="312612A4" w14:textId="4543F30A" w:rsidR="000D2F30" w:rsidRPr="00CD4F28" w:rsidRDefault="000D2F30" w:rsidP="00A73694">
      <w:pPr>
        <w:pStyle w:val="BodyText"/>
        <w:tabs>
          <w:tab w:val="left" w:pos="0"/>
        </w:tabs>
        <w:spacing w:line="276" w:lineRule="auto"/>
        <w:ind w:right="283"/>
        <w:jc w:val="both"/>
        <w:rPr>
          <w:rFonts w:ascii="Arial" w:hAnsi="Arial" w:cs="Arial"/>
          <w:sz w:val="24"/>
          <w:szCs w:val="24"/>
          <w:lang w:val="en-IE"/>
        </w:rPr>
      </w:pPr>
    </w:p>
    <w:p w14:paraId="5ACF9515" w14:textId="62CC5E67" w:rsidR="000D2F30" w:rsidRPr="00CD4F28" w:rsidRDefault="003B260F" w:rsidP="00A73694">
      <w:pPr>
        <w:pStyle w:val="BodyText"/>
        <w:tabs>
          <w:tab w:val="left" w:pos="0"/>
        </w:tabs>
        <w:spacing w:line="276" w:lineRule="auto"/>
        <w:ind w:right="283"/>
        <w:jc w:val="both"/>
        <w:rPr>
          <w:rFonts w:ascii="Arial" w:hAnsi="Arial" w:cs="Arial"/>
          <w:sz w:val="24"/>
          <w:szCs w:val="24"/>
          <w:u w:val="single"/>
          <w:lang w:val="en-IE"/>
        </w:rPr>
      </w:pPr>
      <w:r>
        <w:rPr>
          <w:rFonts w:ascii="Arial" w:hAnsi="Arial" w:cs="Arial"/>
          <w:sz w:val="24"/>
          <w:szCs w:val="24"/>
          <w:u w:val="single"/>
          <w:lang w:val="en-IE"/>
        </w:rPr>
        <w:t>Main actions and outputs</w:t>
      </w:r>
    </w:p>
    <w:p w14:paraId="00B3D056" w14:textId="77777777" w:rsidR="000D2F30" w:rsidRPr="00CD4F28" w:rsidRDefault="000D2F30" w:rsidP="00A73694">
      <w:pPr>
        <w:pStyle w:val="BodyText"/>
        <w:tabs>
          <w:tab w:val="left" w:pos="0"/>
        </w:tabs>
        <w:spacing w:line="276" w:lineRule="auto"/>
        <w:ind w:right="283"/>
        <w:jc w:val="both"/>
        <w:rPr>
          <w:rFonts w:ascii="Arial" w:hAnsi="Arial" w:cs="Arial"/>
          <w:sz w:val="24"/>
          <w:szCs w:val="24"/>
          <w:lang w:val="en-IE"/>
        </w:rPr>
      </w:pPr>
    </w:p>
    <w:p w14:paraId="50A2E8F6" w14:textId="5D1A2EC8" w:rsidR="00DE4019" w:rsidRPr="00CD4F28" w:rsidRDefault="00DE4019" w:rsidP="00D03DF3">
      <w:pPr>
        <w:pStyle w:val="BodyText"/>
        <w:numPr>
          <w:ilvl w:val="2"/>
          <w:numId w:val="7"/>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 xml:space="preserve">Setting up a working </w:t>
      </w:r>
      <w:r w:rsidR="00E17233" w:rsidRPr="00CD4F28">
        <w:rPr>
          <w:rFonts w:ascii="Arial" w:hAnsi="Arial" w:cs="Arial"/>
          <w:b/>
          <w:sz w:val="24"/>
          <w:szCs w:val="24"/>
          <w:lang w:val="en-IE"/>
        </w:rPr>
        <w:t>group</w:t>
      </w:r>
      <w:r w:rsidR="008B7F9A" w:rsidRPr="00CD4F28">
        <w:rPr>
          <w:rFonts w:ascii="Arial" w:hAnsi="Arial" w:cs="Arial"/>
          <w:b/>
          <w:sz w:val="24"/>
          <w:szCs w:val="24"/>
          <w:lang w:val="en-IE"/>
        </w:rPr>
        <w:t xml:space="preserve"> on information</w:t>
      </w:r>
    </w:p>
    <w:p w14:paraId="2E3EA058" w14:textId="6D2A01DF" w:rsidR="00DE4019" w:rsidRPr="00CD4F28" w:rsidRDefault="00DE4019" w:rsidP="00A73694">
      <w:pPr>
        <w:pStyle w:val="BodyText"/>
        <w:tabs>
          <w:tab w:val="left" w:pos="0"/>
        </w:tabs>
        <w:spacing w:line="276" w:lineRule="auto"/>
        <w:ind w:right="283"/>
        <w:jc w:val="both"/>
        <w:rPr>
          <w:rFonts w:ascii="Arial" w:hAnsi="Arial" w:cs="Arial"/>
          <w:b/>
          <w:sz w:val="24"/>
          <w:szCs w:val="24"/>
          <w:lang w:val="en-IE"/>
        </w:rPr>
      </w:pPr>
    </w:p>
    <w:p w14:paraId="7F96B960" w14:textId="29B558ED" w:rsidR="00DE4019" w:rsidRPr="0056195E" w:rsidRDefault="00DE4019"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Authority will set</w:t>
      </w:r>
      <w:r w:rsidR="00B866B2">
        <w:rPr>
          <w:rFonts w:ascii="Arial" w:hAnsi="Arial" w:cs="Arial"/>
          <w:sz w:val="24"/>
          <w:szCs w:val="24"/>
          <w:lang w:val="en-IE"/>
        </w:rPr>
        <w:t xml:space="preserve"> </w:t>
      </w:r>
      <w:r w:rsidRPr="00CD4F28">
        <w:rPr>
          <w:rFonts w:ascii="Arial" w:hAnsi="Arial" w:cs="Arial"/>
          <w:sz w:val="24"/>
          <w:szCs w:val="24"/>
          <w:lang w:val="en-IE"/>
        </w:rPr>
        <w:t>up</w:t>
      </w:r>
      <w:r w:rsidRPr="00CD4F28">
        <w:rPr>
          <w:rFonts w:ascii="Arial" w:hAnsi="Arial" w:cs="Arial"/>
          <w:b/>
          <w:sz w:val="24"/>
          <w:szCs w:val="24"/>
          <w:lang w:val="en-IE"/>
        </w:rPr>
        <w:t xml:space="preserve"> </w:t>
      </w:r>
      <w:r w:rsidR="008B7F9A" w:rsidRPr="00CD4F28">
        <w:rPr>
          <w:rFonts w:ascii="Arial" w:hAnsi="Arial" w:cs="Arial"/>
          <w:sz w:val="24"/>
          <w:szCs w:val="24"/>
          <w:lang w:val="en-IE"/>
        </w:rPr>
        <w:t>a</w:t>
      </w:r>
      <w:r w:rsidRPr="00CD4F28">
        <w:rPr>
          <w:rFonts w:ascii="Arial" w:hAnsi="Arial" w:cs="Arial"/>
          <w:b/>
          <w:sz w:val="24"/>
          <w:szCs w:val="24"/>
          <w:lang w:val="en-IE"/>
        </w:rPr>
        <w:t xml:space="preserve"> </w:t>
      </w:r>
      <w:r w:rsidR="00BB44A6" w:rsidRPr="00CD4F28">
        <w:rPr>
          <w:rFonts w:ascii="Arial" w:hAnsi="Arial" w:cs="Arial"/>
          <w:sz w:val="24"/>
          <w:szCs w:val="24"/>
          <w:lang w:val="en-IE"/>
        </w:rPr>
        <w:t>working</w:t>
      </w:r>
      <w:r w:rsidRPr="00CD4F28">
        <w:rPr>
          <w:rFonts w:ascii="Arial" w:hAnsi="Arial" w:cs="Arial"/>
          <w:sz w:val="24"/>
          <w:szCs w:val="24"/>
          <w:lang w:val="en-IE"/>
        </w:rPr>
        <w:t xml:space="preserve"> group on information, including experts from the Member States and the social partners. This group will provide expertise in a horizontal manner across all labou</w:t>
      </w:r>
      <w:r w:rsidR="000C69A5" w:rsidRPr="00CD4F28">
        <w:rPr>
          <w:rFonts w:ascii="Arial" w:hAnsi="Arial" w:cs="Arial"/>
          <w:sz w:val="24"/>
          <w:szCs w:val="24"/>
          <w:lang w:val="en-IE"/>
        </w:rPr>
        <w:t>r mobility fields with the</w:t>
      </w:r>
      <w:r w:rsidRPr="00CD4F28">
        <w:rPr>
          <w:rFonts w:ascii="Arial" w:hAnsi="Arial" w:cs="Arial"/>
          <w:sz w:val="24"/>
          <w:szCs w:val="24"/>
          <w:lang w:val="en-IE"/>
        </w:rPr>
        <w:t xml:space="preserve"> objectives </w:t>
      </w:r>
      <w:r w:rsidR="000C69A5" w:rsidRPr="00CD4F28">
        <w:rPr>
          <w:rFonts w:ascii="Arial" w:hAnsi="Arial" w:cs="Arial"/>
          <w:sz w:val="24"/>
          <w:szCs w:val="24"/>
          <w:lang w:val="en-IE"/>
        </w:rPr>
        <w:t>of</w:t>
      </w:r>
      <w:r w:rsidRPr="00CD4F28">
        <w:rPr>
          <w:rFonts w:ascii="Arial" w:hAnsi="Arial" w:cs="Arial"/>
          <w:sz w:val="24"/>
          <w:szCs w:val="24"/>
          <w:lang w:val="en-IE"/>
        </w:rPr>
        <w:t xml:space="preserve">: a) mapping sources of </w:t>
      </w:r>
      <w:r w:rsidR="008B7F9A" w:rsidRPr="00CD4F28">
        <w:rPr>
          <w:rFonts w:ascii="Arial" w:hAnsi="Arial" w:cs="Arial"/>
          <w:sz w:val="24"/>
          <w:szCs w:val="24"/>
          <w:lang w:val="en-IE"/>
        </w:rPr>
        <w:t xml:space="preserve">online and offline </w:t>
      </w:r>
      <w:r w:rsidRPr="00CD4F28">
        <w:rPr>
          <w:rFonts w:ascii="Arial" w:hAnsi="Arial" w:cs="Arial"/>
          <w:sz w:val="24"/>
          <w:szCs w:val="24"/>
          <w:lang w:val="en-IE"/>
        </w:rPr>
        <w:t>information provision to citizens and employers at EU and national level; b) analysing information gaps</w:t>
      </w:r>
      <w:r w:rsidR="00E9148D" w:rsidRPr="00CD4F28">
        <w:rPr>
          <w:rFonts w:ascii="Arial" w:hAnsi="Arial" w:cs="Arial"/>
          <w:sz w:val="24"/>
          <w:szCs w:val="24"/>
          <w:lang w:val="en-IE"/>
        </w:rPr>
        <w:t>,</w:t>
      </w:r>
      <w:r w:rsidRPr="00CD4F28">
        <w:rPr>
          <w:rFonts w:ascii="Arial" w:hAnsi="Arial" w:cs="Arial"/>
          <w:sz w:val="24"/>
          <w:szCs w:val="24"/>
          <w:lang w:val="en-IE"/>
        </w:rPr>
        <w:t xml:space="preserve"> inconsistencies</w:t>
      </w:r>
      <w:r w:rsidR="00E9148D" w:rsidRPr="00CD4F28">
        <w:rPr>
          <w:rFonts w:ascii="Arial" w:hAnsi="Arial" w:cs="Arial"/>
          <w:sz w:val="24"/>
          <w:szCs w:val="24"/>
          <w:lang w:val="en-IE"/>
        </w:rPr>
        <w:t xml:space="preserve"> and action needs</w:t>
      </w:r>
      <w:r w:rsidRPr="00CD4F28">
        <w:rPr>
          <w:rFonts w:ascii="Arial" w:hAnsi="Arial" w:cs="Arial"/>
          <w:sz w:val="24"/>
          <w:szCs w:val="24"/>
          <w:lang w:val="en-IE"/>
        </w:rPr>
        <w:t xml:space="preserve"> on EU and national websites in the labour mobility domain; c) </w:t>
      </w:r>
      <w:r w:rsidR="008B7F9A" w:rsidRPr="00CD4F28">
        <w:rPr>
          <w:rFonts w:ascii="Arial" w:hAnsi="Arial" w:cs="Arial"/>
          <w:sz w:val="24"/>
          <w:szCs w:val="24"/>
          <w:lang w:val="en-IE"/>
        </w:rPr>
        <w:t xml:space="preserve">advising </w:t>
      </w:r>
      <w:r w:rsidR="00B56B0B" w:rsidRPr="00CD4F28">
        <w:rPr>
          <w:rFonts w:ascii="Arial" w:hAnsi="Arial" w:cs="Arial"/>
          <w:sz w:val="24"/>
          <w:szCs w:val="24"/>
          <w:lang w:val="en-IE"/>
        </w:rPr>
        <w:t>the Authority</w:t>
      </w:r>
      <w:r w:rsidR="008B7F9A" w:rsidRPr="00CD4F28">
        <w:rPr>
          <w:rFonts w:ascii="Arial" w:hAnsi="Arial" w:cs="Arial"/>
          <w:sz w:val="24"/>
          <w:szCs w:val="24"/>
          <w:lang w:val="en-IE"/>
        </w:rPr>
        <w:t xml:space="preserve"> </w:t>
      </w:r>
      <w:r w:rsidR="008B7F9A" w:rsidRPr="00CD4F28">
        <w:rPr>
          <w:rFonts w:ascii="Arial" w:hAnsi="Arial" w:cs="Arial"/>
          <w:sz w:val="24"/>
          <w:szCs w:val="24"/>
          <w:lang w:val="en-IE"/>
        </w:rPr>
        <w:lastRenderedPageBreak/>
        <w:t>as regards to the</w:t>
      </w:r>
      <w:r w:rsidR="00B56B0B" w:rsidRPr="00CD4F28">
        <w:rPr>
          <w:rFonts w:ascii="Arial" w:hAnsi="Arial" w:cs="Arial"/>
          <w:sz w:val="24"/>
          <w:szCs w:val="24"/>
          <w:lang w:val="en-IE"/>
        </w:rPr>
        <w:t xml:space="preserve"> support to Member States in meeting their obligations </w:t>
      </w:r>
      <w:r w:rsidR="00027C1F" w:rsidRPr="00CD4F28">
        <w:rPr>
          <w:rFonts w:ascii="Arial" w:hAnsi="Arial" w:cs="Arial"/>
          <w:sz w:val="24"/>
          <w:szCs w:val="24"/>
          <w:lang w:val="en-IE"/>
        </w:rPr>
        <w:t xml:space="preserve">on the access to and dissemination of information, as well as on the improvement of accuracy, completeness and user-friendliness </w:t>
      </w:r>
      <w:r w:rsidR="00B56B0B" w:rsidRPr="00CD4F28">
        <w:rPr>
          <w:rFonts w:ascii="Arial" w:hAnsi="Arial" w:cs="Arial"/>
          <w:sz w:val="24"/>
          <w:szCs w:val="24"/>
          <w:lang w:val="en-IE"/>
        </w:rPr>
        <w:t xml:space="preserve">of national websites d) </w:t>
      </w:r>
      <w:r w:rsidR="00027C1F" w:rsidRPr="00CD4F28">
        <w:rPr>
          <w:rFonts w:ascii="Arial" w:hAnsi="Arial" w:cs="Arial"/>
          <w:sz w:val="24"/>
          <w:szCs w:val="24"/>
          <w:lang w:val="en-IE"/>
        </w:rPr>
        <w:t>discussing</w:t>
      </w:r>
      <w:r w:rsidR="00693391" w:rsidRPr="00CD4F28">
        <w:rPr>
          <w:rFonts w:ascii="Arial" w:hAnsi="Arial" w:cs="Arial"/>
          <w:sz w:val="24"/>
          <w:szCs w:val="24"/>
          <w:lang w:val="en-IE"/>
        </w:rPr>
        <w:t xml:space="preserve"> EU and national</w:t>
      </w:r>
      <w:r w:rsidR="00027C1F" w:rsidRPr="00CD4F28">
        <w:rPr>
          <w:rFonts w:ascii="Arial" w:hAnsi="Arial" w:cs="Arial"/>
          <w:sz w:val="24"/>
          <w:szCs w:val="24"/>
          <w:lang w:val="en-IE"/>
        </w:rPr>
        <w:t xml:space="preserve"> </w:t>
      </w:r>
      <w:r w:rsidR="00305304" w:rsidRPr="00CD4F28">
        <w:rPr>
          <w:rFonts w:ascii="Arial" w:hAnsi="Arial" w:cs="Arial"/>
          <w:sz w:val="24"/>
          <w:szCs w:val="24"/>
          <w:lang w:val="en-IE"/>
        </w:rPr>
        <w:t xml:space="preserve">strategies on </w:t>
      </w:r>
      <w:r w:rsidR="00E9148D" w:rsidRPr="00CD4F28">
        <w:rPr>
          <w:rFonts w:ascii="Arial" w:hAnsi="Arial" w:cs="Arial"/>
          <w:sz w:val="24"/>
          <w:szCs w:val="24"/>
          <w:lang w:val="en-IE"/>
        </w:rPr>
        <w:t>dissemination</w:t>
      </w:r>
      <w:r w:rsidR="00305304" w:rsidRPr="00CD4F28">
        <w:rPr>
          <w:rFonts w:ascii="Arial" w:hAnsi="Arial" w:cs="Arial"/>
          <w:sz w:val="24"/>
          <w:szCs w:val="24"/>
          <w:lang w:val="en-IE"/>
        </w:rPr>
        <w:t xml:space="preserve"> of information to citizens and employers</w:t>
      </w:r>
      <w:r w:rsidR="00E9148D" w:rsidRPr="00CD4F28">
        <w:rPr>
          <w:rFonts w:ascii="Arial" w:hAnsi="Arial" w:cs="Arial"/>
          <w:sz w:val="24"/>
          <w:szCs w:val="24"/>
          <w:lang w:val="en-IE"/>
        </w:rPr>
        <w:t>. Where relevant, this group will coo</w:t>
      </w:r>
      <w:r w:rsidR="00824CF9" w:rsidRPr="00CD4F28">
        <w:rPr>
          <w:rFonts w:ascii="Arial" w:hAnsi="Arial" w:cs="Arial"/>
          <w:sz w:val="24"/>
          <w:szCs w:val="24"/>
          <w:lang w:val="en-IE"/>
        </w:rPr>
        <w:t>perate</w:t>
      </w:r>
      <w:r w:rsidR="00E9148D" w:rsidRPr="00CD4F28">
        <w:rPr>
          <w:rFonts w:ascii="Arial" w:hAnsi="Arial" w:cs="Arial"/>
          <w:sz w:val="24"/>
          <w:szCs w:val="24"/>
          <w:lang w:val="en-IE"/>
        </w:rPr>
        <w:t xml:space="preserve"> with existing EU-level bodies such as the single digital gateway, </w:t>
      </w:r>
      <w:r w:rsidRPr="00CD4F28">
        <w:rPr>
          <w:rFonts w:ascii="Arial" w:hAnsi="Arial" w:cs="Arial"/>
          <w:sz w:val="24"/>
          <w:szCs w:val="24"/>
          <w:lang w:val="en-IE"/>
        </w:rPr>
        <w:t xml:space="preserve">the Expert </w:t>
      </w:r>
      <w:r w:rsidR="00824CF9" w:rsidRPr="00CD4F28">
        <w:rPr>
          <w:rFonts w:ascii="Arial" w:hAnsi="Arial" w:cs="Arial"/>
          <w:sz w:val="24"/>
          <w:szCs w:val="24"/>
          <w:lang w:val="en-IE"/>
        </w:rPr>
        <w:t>Committee</w:t>
      </w:r>
      <w:r w:rsidRPr="00CD4F28">
        <w:rPr>
          <w:rFonts w:ascii="Arial" w:hAnsi="Arial" w:cs="Arial"/>
          <w:sz w:val="24"/>
          <w:szCs w:val="24"/>
          <w:lang w:val="en-IE"/>
        </w:rPr>
        <w:t xml:space="preserve"> on the Posting of Workers</w:t>
      </w:r>
      <w:r w:rsidR="00E9148D" w:rsidRPr="00CD4F28">
        <w:rPr>
          <w:rFonts w:ascii="Arial" w:hAnsi="Arial" w:cs="Arial"/>
          <w:sz w:val="24"/>
          <w:szCs w:val="24"/>
          <w:lang w:val="en-IE"/>
        </w:rPr>
        <w:t>, the EURES European Coordination Office</w:t>
      </w:r>
      <w:r w:rsidRPr="00CD4F28">
        <w:rPr>
          <w:rFonts w:ascii="Arial" w:hAnsi="Arial" w:cs="Arial"/>
          <w:sz w:val="24"/>
          <w:szCs w:val="24"/>
          <w:lang w:val="en-IE"/>
        </w:rPr>
        <w:t xml:space="preserve">. </w:t>
      </w:r>
      <w:r w:rsidR="00B866B2">
        <w:rPr>
          <w:rFonts w:ascii="Arial" w:hAnsi="Arial" w:cs="Arial"/>
          <w:sz w:val="24"/>
          <w:szCs w:val="24"/>
          <w:lang w:val="en-IE"/>
        </w:rPr>
        <w:t xml:space="preserve">The </w:t>
      </w:r>
      <w:r w:rsidR="004B0155">
        <w:rPr>
          <w:rFonts w:ascii="Arial" w:hAnsi="Arial" w:cs="Arial"/>
          <w:sz w:val="24"/>
          <w:szCs w:val="24"/>
          <w:lang w:val="en-IE"/>
        </w:rPr>
        <w:t xml:space="preserve">working group will report </w:t>
      </w:r>
      <w:r w:rsidR="00B866B2">
        <w:rPr>
          <w:rFonts w:ascii="Arial" w:hAnsi="Arial" w:cs="Arial"/>
          <w:sz w:val="24"/>
          <w:szCs w:val="24"/>
          <w:lang w:val="en-IE"/>
        </w:rPr>
        <w:t xml:space="preserve">to the Management Boardon the results of </w:t>
      </w:r>
      <w:r w:rsidR="00AD48BB">
        <w:rPr>
          <w:rFonts w:ascii="Arial" w:hAnsi="Arial" w:cs="Arial"/>
          <w:sz w:val="24"/>
          <w:szCs w:val="24"/>
          <w:lang w:val="en-IE"/>
        </w:rPr>
        <w:t>its activities</w:t>
      </w:r>
      <w:r w:rsidR="00B866B2">
        <w:rPr>
          <w:rFonts w:ascii="Arial" w:hAnsi="Arial" w:cs="Arial"/>
          <w:sz w:val="24"/>
          <w:szCs w:val="24"/>
          <w:lang w:val="en-IE"/>
        </w:rPr>
        <w:t>.</w:t>
      </w:r>
    </w:p>
    <w:p w14:paraId="1DC8BCB8" w14:textId="6903ABF8" w:rsidR="00DE4019" w:rsidRPr="00CD4F28" w:rsidRDefault="00DE4019" w:rsidP="00A73694">
      <w:pPr>
        <w:pStyle w:val="BodyText"/>
        <w:tabs>
          <w:tab w:val="left" w:pos="0"/>
        </w:tabs>
        <w:spacing w:line="276" w:lineRule="auto"/>
        <w:ind w:left="360" w:right="283"/>
        <w:jc w:val="both"/>
        <w:rPr>
          <w:rFonts w:ascii="Arial" w:hAnsi="Arial" w:cs="Arial"/>
          <w:b/>
          <w:sz w:val="24"/>
          <w:szCs w:val="24"/>
          <w:lang w:val="en-IE"/>
        </w:rPr>
      </w:pPr>
    </w:p>
    <w:p w14:paraId="4CE92BC6" w14:textId="77777777" w:rsidR="00DE4019" w:rsidRPr="00CD4F28" w:rsidRDefault="00DE4019" w:rsidP="00A73694">
      <w:pPr>
        <w:pStyle w:val="BodyText"/>
        <w:tabs>
          <w:tab w:val="left" w:pos="0"/>
        </w:tabs>
        <w:spacing w:line="276" w:lineRule="auto"/>
        <w:ind w:left="360" w:right="283"/>
        <w:jc w:val="both"/>
        <w:rPr>
          <w:rFonts w:ascii="Arial" w:hAnsi="Arial" w:cs="Arial"/>
          <w:b/>
          <w:sz w:val="24"/>
          <w:szCs w:val="24"/>
          <w:lang w:val="en-IE"/>
        </w:rPr>
      </w:pPr>
    </w:p>
    <w:p w14:paraId="22C715E3" w14:textId="25A1679E" w:rsidR="000D2F30" w:rsidRPr="00CD4F28" w:rsidRDefault="0018700A" w:rsidP="00D03DF3">
      <w:pPr>
        <w:pStyle w:val="BodyText"/>
        <w:numPr>
          <w:ilvl w:val="2"/>
          <w:numId w:val="7"/>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Preparatory</w:t>
      </w:r>
      <w:r w:rsidR="00DE4019" w:rsidRPr="00CD4F28">
        <w:rPr>
          <w:rFonts w:ascii="Arial" w:hAnsi="Arial" w:cs="Arial"/>
          <w:b/>
          <w:sz w:val="24"/>
          <w:szCs w:val="24"/>
          <w:lang w:val="en-IE"/>
        </w:rPr>
        <w:t xml:space="preserve"> work: mapping sources and identifying the challenges</w:t>
      </w:r>
      <w:r w:rsidR="000D2F30" w:rsidRPr="00CD4F28">
        <w:rPr>
          <w:rFonts w:ascii="Arial" w:hAnsi="Arial" w:cs="Arial"/>
          <w:b/>
          <w:sz w:val="24"/>
          <w:szCs w:val="24"/>
          <w:lang w:val="en-IE"/>
        </w:rPr>
        <w:t xml:space="preserve"> </w:t>
      </w:r>
    </w:p>
    <w:p w14:paraId="0883FF8D" w14:textId="29D9A6FF" w:rsidR="00691F92" w:rsidRPr="00CD4F28" w:rsidRDefault="00691F92" w:rsidP="00A73694">
      <w:pPr>
        <w:pStyle w:val="BodyText"/>
        <w:tabs>
          <w:tab w:val="left" w:pos="0"/>
        </w:tabs>
        <w:spacing w:line="276" w:lineRule="auto"/>
        <w:ind w:right="283"/>
        <w:jc w:val="both"/>
        <w:rPr>
          <w:rFonts w:ascii="Arial" w:hAnsi="Arial" w:cs="Arial"/>
          <w:sz w:val="24"/>
          <w:szCs w:val="24"/>
          <w:lang w:val="en-IE"/>
        </w:rPr>
      </w:pPr>
    </w:p>
    <w:p w14:paraId="65BD245F" w14:textId="2D215869" w:rsidR="00E9148D" w:rsidRPr="00CD4F28" w:rsidRDefault="000D2F3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w:t>
      </w:r>
      <w:r w:rsidR="000C69A5" w:rsidRPr="00CD4F28">
        <w:rPr>
          <w:rFonts w:ascii="Arial" w:hAnsi="Arial" w:cs="Arial"/>
          <w:sz w:val="24"/>
          <w:szCs w:val="24"/>
          <w:lang w:val="en-IE"/>
        </w:rPr>
        <w:t>organise</w:t>
      </w:r>
      <w:r w:rsidR="00E9148D" w:rsidRPr="00CD4F28">
        <w:rPr>
          <w:rFonts w:ascii="Arial" w:hAnsi="Arial" w:cs="Arial"/>
          <w:sz w:val="24"/>
          <w:szCs w:val="24"/>
          <w:lang w:val="en-IE"/>
        </w:rPr>
        <w:t xml:space="preserve"> </w:t>
      </w:r>
      <w:r w:rsidR="0018700A" w:rsidRPr="00CD4F28">
        <w:rPr>
          <w:rFonts w:ascii="Arial" w:hAnsi="Arial" w:cs="Arial"/>
          <w:sz w:val="24"/>
          <w:szCs w:val="24"/>
          <w:lang w:val="en-IE"/>
        </w:rPr>
        <w:t>preparatory</w:t>
      </w:r>
      <w:r w:rsidR="00E9148D" w:rsidRPr="00CD4F28">
        <w:rPr>
          <w:rFonts w:ascii="Arial" w:hAnsi="Arial" w:cs="Arial"/>
          <w:sz w:val="24"/>
          <w:szCs w:val="24"/>
          <w:lang w:val="en-IE"/>
        </w:rPr>
        <w:t xml:space="preserve"> work to map information sources and identify challenges and action needs at the EU and national level. This work will be the basis for future </w:t>
      </w:r>
      <w:r w:rsidR="0018700A" w:rsidRPr="00CD4F28">
        <w:rPr>
          <w:rFonts w:ascii="Arial" w:hAnsi="Arial" w:cs="Arial"/>
          <w:sz w:val="24"/>
          <w:szCs w:val="24"/>
          <w:lang w:val="en-IE"/>
        </w:rPr>
        <w:t>activities</w:t>
      </w:r>
      <w:r w:rsidR="00E9148D" w:rsidRPr="00CD4F28">
        <w:rPr>
          <w:rFonts w:ascii="Arial" w:hAnsi="Arial" w:cs="Arial"/>
          <w:sz w:val="24"/>
          <w:szCs w:val="24"/>
          <w:lang w:val="en-IE"/>
        </w:rPr>
        <w:t xml:space="preserve"> at both levels. </w:t>
      </w:r>
      <w:r w:rsidR="005552D1" w:rsidRPr="00CD4F28">
        <w:rPr>
          <w:rFonts w:ascii="Arial" w:hAnsi="Arial" w:cs="Arial"/>
          <w:sz w:val="24"/>
          <w:szCs w:val="24"/>
          <w:lang w:val="en-IE"/>
        </w:rPr>
        <w:t>Activities</w:t>
      </w:r>
      <w:r w:rsidR="00E9148D" w:rsidRPr="00CD4F28">
        <w:rPr>
          <w:rFonts w:ascii="Arial" w:hAnsi="Arial" w:cs="Arial"/>
          <w:sz w:val="24"/>
          <w:szCs w:val="24"/>
          <w:lang w:val="en-IE"/>
        </w:rPr>
        <w:t xml:space="preserve"> will include a </w:t>
      </w:r>
      <w:r w:rsidR="00E9148D" w:rsidRPr="00CD4F28">
        <w:rPr>
          <w:rFonts w:ascii="Arial" w:hAnsi="Arial" w:cs="Arial"/>
          <w:b/>
          <w:sz w:val="24"/>
          <w:szCs w:val="24"/>
          <w:lang w:val="en-IE"/>
        </w:rPr>
        <w:t>stakeholder survey</w:t>
      </w:r>
      <w:r w:rsidR="00E9148D" w:rsidRPr="00CD4F28">
        <w:rPr>
          <w:rFonts w:ascii="Arial" w:hAnsi="Arial" w:cs="Arial"/>
          <w:sz w:val="24"/>
          <w:szCs w:val="24"/>
          <w:lang w:val="en-IE"/>
        </w:rPr>
        <w:t xml:space="preserve"> to map the most widely used sources of information on labour mobility legislation, identify existing information gaps</w:t>
      </w:r>
      <w:r w:rsidR="00B866B2">
        <w:rPr>
          <w:rFonts w:ascii="Arial" w:hAnsi="Arial" w:cs="Arial"/>
          <w:sz w:val="24"/>
          <w:szCs w:val="24"/>
          <w:lang w:val="en-IE"/>
        </w:rPr>
        <w:t xml:space="preserve"> with particular attention on </w:t>
      </w:r>
      <w:r w:rsidR="005A2B43">
        <w:rPr>
          <w:rFonts w:ascii="Arial" w:hAnsi="Arial" w:cs="Arial"/>
          <w:sz w:val="24"/>
          <w:szCs w:val="24"/>
          <w:lang w:val="en-IE"/>
        </w:rPr>
        <w:t>users’</w:t>
      </w:r>
      <w:r w:rsidR="00B866B2">
        <w:rPr>
          <w:rFonts w:ascii="Arial" w:hAnsi="Arial" w:cs="Arial"/>
          <w:sz w:val="24"/>
          <w:szCs w:val="24"/>
          <w:lang w:val="en-IE"/>
        </w:rPr>
        <w:t xml:space="preserve"> needs,</w:t>
      </w:r>
      <w:r w:rsidR="003679E9" w:rsidRPr="00CD4F28">
        <w:rPr>
          <w:rFonts w:ascii="Arial" w:hAnsi="Arial" w:cs="Arial"/>
          <w:sz w:val="24"/>
          <w:szCs w:val="24"/>
          <w:lang w:val="en-IE"/>
        </w:rPr>
        <w:t xml:space="preserve"> including as regards to translation into other languages</w:t>
      </w:r>
      <w:r w:rsidR="00E9148D" w:rsidRPr="00CD4F28">
        <w:rPr>
          <w:rFonts w:ascii="Arial" w:hAnsi="Arial" w:cs="Arial"/>
          <w:sz w:val="24"/>
          <w:szCs w:val="24"/>
          <w:lang w:val="en-IE"/>
        </w:rPr>
        <w:t xml:space="preserve"> and collect views on possible solutions</w:t>
      </w:r>
      <w:r w:rsidR="00A30144" w:rsidRPr="00CD4F28">
        <w:rPr>
          <w:rFonts w:ascii="Arial" w:hAnsi="Arial" w:cs="Arial"/>
          <w:sz w:val="24"/>
          <w:szCs w:val="24"/>
          <w:lang w:val="en-IE"/>
        </w:rPr>
        <w:t>, also through the identification of best practices</w:t>
      </w:r>
      <w:r w:rsidR="00E9148D" w:rsidRPr="00CD4F28">
        <w:rPr>
          <w:rFonts w:ascii="Arial" w:hAnsi="Arial" w:cs="Arial"/>
          <w:sz w:val="24"/>
          <w:szCs w:val="24"/>
          <w:lang w:val="en-IE"/>
        </w:rPr>
        <w:t xml:space="preserve">; a </w:t>
      </w:r>
      <w:r w:rsidR="00E9148D" w:rsidRPr="00CD4F28">
        <w:rPr>
          <w:rFonts w:ascii="Arial" w:hAnsi="Arial" w:cs="Arial"/>
          <w:b/>
          <w:sz w:val="24"/>
          <w:szCs w:val="24"/>
          <w:lang w:val="en-IE"/>
        </w:rPr>
        <w:t>study</w:t>
      </w:r>
      <w:r w:rsidR="00E9148D" w:rsidRPr="00CD4F28">
        <w:rPr>
          <w:rFonts w:ascii="Arial" w:hAnsi="Arial" w:cs="Arial"/>
          <w:sz w:val="24"/>
          <w:szCs w:val="24"/>
          <w:lang w:val="en-IE"/>
        </w:rPr>
        <w:t xml:space="preserve"> will be launched to assess possible options to improve the accessibility, user-friendliness and quality of EU websites providing information on labour mobility; further </w:t>
      </w:r>
      <w:r w:rsidR="00556D70" w:rsidRPr="00CD4F28">
        <w:rPr>
          <w:rFonts w:ascii="Arial" w:hAnsi="Arial" w:cs="Arial"/>
          <w:b/>
          <w:sz w:val="24"/>
          <w:szCs w:val="24"/>
          <w:lang w:val="en-IE"/>
        </w:rPr>
        <w:t xml:space="preserve">small-scale </w:t>
      </w:r>
      <w:r w:rsidR="00E9148D" w:rsidRPr="00CD4F28">
        <w:rPr>
          <w:rFonts w:ascii="Arial" w:hAnsi="Arial" w:cs="Arial"/>
          <w:b/>
          <w:sz w:val="24"/>
          <w:szCs w:val="24"/>
          <w:lang w:val="en-IE"/>
        </w:rPr>
        <w:t>studies</w:t>
      </w:r>
      <w:r w:rsidR="00E9148D" w:rsidRPr="00CD4F28">
        <w:rPr>
          <w:rFonts w:ascii="Arial" w:hAnsi="Arial" w:cs="Arial"/>
          <w:sz w:val="24"/>
          <w:szCs w:val="24"/>
          <w:lang w:val="en-IE"/>
        </w:rPr>
        <w:t xml:space="preserve"> may be planned to assess similar </w:t>
      </w:r>
      <w:r w:rsidR="00556D70" w:rsidRPr="00CD4F28">
        <w:rPr>
          <w:rFonts w:ascii="Arial" w:hAnsi="Arial" w:cs="Arial"/>
          <w:sz w:val="24"/>
          <w:szCs w:val="24"/>
          <w:lang w:val="en-IE"/>
        </w:rPr>
        <w:t xml:space="preserve">gaps and possibility of improvement </w:t>
      </w:r>
      <w:r w:rsidR="00E9148D" w:rsidRPr="00CD4F28">
        <w:rPr>
          <w:rFonts w:ascii="Arial" w:hAnsi="Arial" w:cs="Arial"/>
          <w:sz w:val="24"/>
          <w:szCs w:val="24"/>
          <w:lang w:val="en-IE"/>
        </w:rPr>
        <w:t>with respect to national websites</w:t>
      </w:r>
      <w:r w:rsidR="0018700A" w:rsidRPr="00CD4F28">
        <w:rPr>
          <w:rFonts w:ascii="Arial" w:hAnsi="Arial" w:cs="Arial"/>
          <w:sz w:val="24"/>
          <w:szCs w:val="24"/>
          <w:lang w:val="en-IE"/>
        </w:rPr>
        <w:t>, which may also serve as a basis for peer reviews to be organi</w:t>
      </w:r>
      <w:r w:rsidR="000C69A5" w:rsidRPr="00CD4F28">
        <w:rPr>
          <w:rFonts w:ascii="Arial" w:hAnsi="Arial" w:cs="Arial"/>
          <w:sz w:val="24"/>
          <w:szCs w:val="24"/>
          <w:lang w:val="en-IE"/>
        </w:rPr>
        <w:t>sed in the context of the working</w:t>
      </w:r>
      <w:r w:rsidR="0018700A" w:rsidRPr="00CD4F28">
        <w:rPr>
          <w:rFonts w:ascii="Arial" w:hAnsi="Arial" w:cs="Arial"/>
          <w:sz w:val="24"/>
          <w:szCs w:val="24"/>
          <w:lang w:val="en-IE"/>
        </w:rPr>
        <w:t xml:space="preserve"> group</w:t>
      </w:r>
      <w:r w:rsidR="00E9148D" w:rsidRPr="00CD4F28">
        <w:rPr>
          <w:rFonts w:ascii="Arial" w:hAnsi="Arial" w:cs="Arial"/>
          <w:sz w:val="24"/>
          <w:szCs w:val="24"/>
          <w:lang w:val="en-IE"/>
        </w:rPr>
        <w:t>.</w:t>
      </w:r>
    </w:p>
    <w:p w14:paraId="6FED3B37" w14:textId="77777777" w:rsidR="00E9148D" w:rsidRPr="00CD4F28" w:rsidRDefault="00E9148D" w:rsidP="00A73694">
      <w:pPr>
        <w:pStyle w:val="BodyText"/>
        <w:tabs>
          <w:tab w:val="left" w:pos="0"/>
        </w:tabs>
        <w:spacing w:line="276" w:lineRule="auto"/>
        <w:ind w:right="283"/>
        <w:jc w:val="both"/>
        <w:rPr>
          <w:rFonts w:ascii="Arial" w:hAnsi="Arial" w:cs="Arial"/>
          <w:sz w:val="24"/>
          <w:szCs w:val="24"/>
          <w:lang w:val="en-IE"/>
        </w:rPr>
      </w:pPr>
    </w:p>
    <w:p w14:paraId="68413946" w14:textId="18DF2787" w:rsidR="00E9148D" w:rsidRPr="00CD4F28" w:rsidRDefault="00E9148D" w:rsidP="00D03DF3">
      <w:pPr>
        <w:pStyle w:val="BodyText"/>
        <w:numPr>
          <w:ilvl w:val="2"/>
          <w:numId w:val="7"/>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Improvement of EU sources of information</w:t>
      </w:r>
    </w:p>
    <w:p w14:paraId="43FC1DA4" w14:textId="77777777" w:rsidR="000A6524" w:rsidRPr="00CD4F28" w:rsidRDefault="000A6524" w:rsidP="000A6524">
      <w:pPr>
        <w:pStyle w:val="BodyText"/>
        <w:tabs>
          <w:tab w:val="left" w:pos="0"/>
        </w:tabs>
        <w:spacing w:line="276" w:lineRule="auto"/>
        <w:ind w:left="720" w:right="283"/>
        <w:jc w:val="both"/>
        <w:rPr>
          <w:rFonts w:ascii="Arial" w:hAnsi="Arial" w:cs="Arial"/>
          <w:b/>
          <w:sz w:val="24"/>
          <w:szCs w:val="24"/>
          <w:lang w:val="en-IE"/>
        </w:rPr>
      </w:pPr>
    </w:p>
    <w:p w14:paraId="73F59EAB" w14:textId="5D9018C0" w:rsidR="000D2F30" w:rsidRPr="00CD4F28" w:rsidRDefault="00E9148D"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On the basis </w:t>
      </w:r>
      <w:r w:rsidR="000C69A5" w:rsidRPr="00CD4F28">
        <w:rPr>
          <w:rFonts w:ascii="Arial" w:hAnsi="Arial" w:cs="Arial"/>
          <w:sz w:val="24"/>
          <w:szCs w:val="24"/>
          <w:lang w:val="en-IE"/>
        </w:rPr>
        <w:t>of discussions within the working</w:t>
      </w:r>
      <w:r w:rsidRPr="00CD4F28">
        <w:rPr>
          <w:rFonts w:ascii="Arial" w:hAnsi="Arial" w:cs="Arial"/>
          <w:sz w:val="24"/>
          <w:szCs w:val="24"/>
          <w:lang w:val="en-IE"/>
        </w:rPr>
        <w:t xml:space="preserve"> group and on the results of the survey, the Authority will undertake </w:t>
      </w:r>
      <w:r w:rsidR="008A1429" w:rsidRPr="00CD4F28">
        <w:rPr>
          <w:rFonts w:ascii="Arial" w:hAnsi="Arial" w:cs="Arial"/>
          <w:sz w:val="24"/>
          <w:szCs w:val="24"/>
          <w:lang w:val="en-IE"/>
        </w:rPr>
        <w:t>targeted</w:t>
      </w:r>
      <w:r w:rsidRPr="00CD4F28">
        <w:rPr>
          <w:rFonts w:ascii="Arial" w:hAnsi="Arial" w:cs="Arial"/>
          <w:sz w:val="24"/>
          <w:szCs w:val="24"/>
          <w:lang w:val="en-IE"/>
        </w:rPr>
        <w:t xml:space="preserve"> actions </w:t>
      </w:r>
      <w:r w:rsidR="00A30144" w:rsidRPr="00CD4F28">
        <w:rPr>
          <w:rFonts w:ascii="Arial" w:hAnsi="Arial" w:cs="Arial"/>
          <w:sz w:val="24"/>
          <w:szCs w:val="24"/>
          <w:lang w:val="en-IE"/>
        </w:rPr>
        <w:t>to improve EU sources of information on labour mobility, in the framework of the single digital gateway. These action</w:t>
      </w:r>
      <w:r w:rsidR="00556D70" w:rsidRPr="00CD4F28">
        <w:rPr>
          <w:rFonts w:ascii="Arial" w:hAnsi="Arial" w:cs="Arial"/>
          <w:sz w:val="24"/>
          <w:szCs w:val="24"/>
          <w:lang w:val="en-IE"/>
        </w:rPr>
        <w:t>s</w:t>
      </w:r>
      <w:r w:rsidR="00A30144" w:rsidRPr="00CD4F28">
        <w:rPr>
          <w:rFonts w:ascii="Arial" w:hAnsi="Arial" w:cs="Arial"/>
          <w:sz w:val="24"/>
          <w:szCs w:val="24"/>
          <w:lang w:val="en-IE"/>
        </w:rPr>
        <w:t xml:space="preserve"> may include the articulation of links to national single websites on posting relating to specific aspects of the relevant legislation (e.g. employers’ administrative requirements, details of remuneration)</w:t>
      </w:r>
      <w:r w:rsidR="00556D70" w:rsidRPr="00CD4F28">
        <w:rPr>
          <w:rFonts w:ascii="Arial" w:hAnsi="Arial" w:cs="Arial"/>
          <w:sz w:val="24"/>
          <w:szCs w:val="24"/>
          <w:lang w:val="en-IE"/>
        </w:rPr>
        <w:t xml:space="preserve"> or links to sector-specific information websites or campaigns</w:t>
      </w:r>
      <w:r w:rsidR="00D87167" w:rsidRPr="00CD4F28">
        <w:rPr>
          <w:rFonts w:ascii="Arial" w:hAnsi="Arial" w:cs="Arial"/>
          <w:sz w:val="24"/>
          <w:szCs w:val="24"/>
          <w:lang w:val="en-IE"/>
        </w:rPr>
        <w:t>, including by the social partners</w:t>
      </w:r>
      <w:r w:rsidR="00A30144" w:rsidRPr="00CD4F28">
        <w:rPr>
          <w:rFonts w:ascii="Arial" w:hAnsi="Arial" w:cs="Arial"/>
          <w:sz w:val="24"/>
          <w:szCs w:val="24"/>
          <w:lang w:val="en-IE"/>
        </w:rPr>
        <w:t xml:space="preserve">. </w:t>
      </w:r>
    </w:p>
    <w:p w14:paraId="1A39CB6D" w14:textId="77777777" w:rsidR="000D2F30" w:rsidRPr="00CD4F28" w:rsidRDefault="000D2F30" w:rsidP="00A73694">
      <w:pPr>
        <w:pStyle w:val="BodyText"/>
        <w:tabs>
          <w:tab w:val="left" w:pos="0"/>
        </w:tabs>
        <w:spacing w:line="276" w:lineRule="auto"/>
        <w:ind w:right="283"/>
        <w:jc w:val="both"/>
        <w:rPr>
          <w:rFonts w:ascii="Arial" w:hAnsi="Arial" w:cs="Arial"/>
          <w:sz w:val="24"/>
          <w:szCs w:val="24"/>
          <w:highlight w:val="yellow"/>
          <w:lang w:val="en-IE"/>
        </w:rPr>
      </w:pPr>
    </w:p>
    <w:p w14:paraId="530287F5" w14:textId="7322C78F" w:rsidR="000D2F30" w:rsidRPr="00CD4F28" w:rsidRDefault="00A30144" w:rsidP="00D03DF3">
      <w:pPr>
        <w:pStyle w:val="BodyText"/>
        <w:numPr>
          <w:ilvl w:val="2"/>
          <w:numId w:val="7"/>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Organisation of targeted workshops</w:t>
      </w:r>
    </w:p>
    <w:p w14:paraId="21135AE9" w14:textId="77777777" w:rsidR="000D2F30" w:rsidRPr="00CD4F28" w:rsidRDefault="000D2F30" w:rsidP="00A73694">
      <w:pPr>
        <w:pStyle w:val="BodyText"/>
        <w:tabs>
          <w:tab w:val="left" w:pos="0"/>
        </w:tabs>
        <w:spacing w:line="276" w:lineRule="auto"/>
        <w:ind w:right="283"/>
        <w:jc w:val="both"/>
        <w:rPr>
          <w:rFonts w:ascii="Arial" w:hAnsi="Arial" w:cs="Arial"/>
          <w:sz w:val="24"/>
          <w:szCs w:val="24"/>
          <w:lang w:val="en-IE"/>
        </w:rPr>
      </w:pPr>
    </w:p>
    <w:p w14:paraId="707323BF" w14:textId="2E468CA0" w:rsidR="0029174A" w:rsidRPr="00CD4F28" w:rsidRDefault="00CA11BA"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w:t>
      </w:r>
      <w:r w:rsidR="009219D2" w:rsidRPr="00CD4F28">
        <w:rPr>
          <w:rFonts w:ascii="Arial" w:hAnsi="Arial" w:cs="Arial"/>
          <w:sz w:val="24"/>
          <w:szCs w:val="24"/>
          <w:lang w:val="en-IE"/>
        </w:rPr>
        <w:t xml:space="preserve">organise a </w:t>
      </w:r>
      <w:r w:rsidRPr="00CD4F28">
        <w:rPr>
          <w:rFonts w:ascii="Arial" w:hAnsi="Arial" w:cs="Arial"/>
          <w:b/>
          <w:sz w:val="24"/>
          <w:szCs w:val="24"/>
          <w:lang w:val="en-IE"/>
        </w:rPr>
        <w:t>set of workshops</w:t>
      </w:r>
      <w:r w:rsidRPr="00CD4F28">
        <w:rPr>
          <w:rFonts w:ascii="Arial" w:hAnsi="Arial" w:cs="Arial"/>
          <w:sz w:val="24"/>
          <w:szCs w:val="24"/>
          <w:lang w:val="en-IE"/>
        </w:rPr>
        <w:t xml:space="preserve"> </w:t>
      </w:r>
      <w:r w:rsidR="00C6318D" w:rsidRPr="00CD4F28">
        <w:rPr>
          <w:rFonts w:ascii="Arial" w:hAnsi="Arial" w:cs="Arial"/>
          <w:sz w:val="24"/>
          <w:szCs w:val="24"/>
          <w:lang w:val="en-IE"/>
        </w:rPr>
        <w:t>targeted at specific groups of stakeholders and</w:t>
      </w:r>
      <w:r w:rsidR="00C6318D" w:rsidRPr="00CD4F28">
        <w:rPr>
          <w:rFonts w:ascii="Arial" w:hAnsi="Arial" w:cs="Arial"/>
          <w:b/>
          <w:sz w:val="24"/>
          <w:szCs w:val="24"/>
          <w:lang w:val="en-IE"/>
        </w:rPr>
        <w:t xml:space="preserve"> </w:t>
      </w:r>
      <w:r w:rsidRPr="00CD4F28">
        <w:rPr>
          <w:rFonts w:ascii="Arial" w:hAnsi="Arial" w:cs="Arial"/>
          <w:sz w:val="24"/>
          <w:szCs w:val="24"/>
          <w:lang w:val="en-IE"/>
        </w:rPr>
        <w:t>aim</w:t>
      </w:r>
      <w:r w:rsidR="00C6318D" w:rsidRPr="00CD4F28">
        <w:rPr>
          <w:rFonts w:ascii="Arial" w:hAnsi="Arial" w:cs="Arial"/>
          <w:sz w:val="24"/>
          <w:szCs w:val="24"/>
          <w:lang w:val="en-IE"/>
        </w:rPr>
        <w:t>ing</w:t>
      </w:r>
      <w:r w:rsidRPr="00CD4F28">
        <w:rPr>
          <w:rFonts w:ascii="Arial" w:hAnsi="Arial" w:cs="Arial"/>
          <w:sz w:val="24"/>
          <w:szCs w:val="24"/>
          <w:lang w:val="en-IE"/>
        </w:rPr>
        <w:t xml:space="preserve"> at spreading awareness, promoting exchange and fostering future common initiatives on a number of tools and </w:t>
      </w:r>
      <w:r w:rsidR="00C6318D" w:rsidRPr="00CD4F28">
        <w:rPr>
          <w:rFonts w:ascii="Arial" w:hAnsi="Arial" w:cs="Arial"/>
          <w:sz w:val="24"/>
          <w:szCs w:val="24"/>
          <w:lang w:val="en-IE"/>
        </w:rPr>
        <w:t>labour mobility</w:t>
      </w:r>
      <w:r w:rsidRPr="00CD4F28">
        <w:rPr>
          <w:rFonts w:ascii="Arial" w:hAnsi="Arial" w:cs="Arial"/>
          <w:sz w:val="24"/>
          <w:szCs w:val="24"/>
          <w:lang w:val="en-IE"/>
        </w:rPr>
        <w:t xml:space="preserve"> areas which fall under </w:t>
      </w:r>
      <w:r w:rsidR="00C6318D" w:rsidRPr="00CD4F28">
        <w:rPr>
          <w:rFonts w:ascii="Arial" w:hAnsi="Arial" w:cs="Arial"/>
          <w:sz w:val="24"/>
          <w:szCs w:val="24"/>
          <w:lang w:val="en-IE"/>
        </w:rPr>
        <w:t>the</w:t>
      </w:r>
      <w:r w:rsidRPr="00CD4F28">
        <w:rPr>
          <w:rFonts w:ascii="Arial" w:hAnsi="Arial" w:cs="Arial"/>
          <w:sz w:val="24"/>
          <w:szCs w:val="24"/>
          <w:lang w:val="en-IE"/>
        </w:rPr>
        <w:t xml:space="preserve"> scope</w:t>
      </w:r>
      <w:r w:rsidR="00C6318D" w:rsidRPr="00CD4F28">
        <w:rPr>
          <w:rFonts w:ascii="Arial" w:hAnsi="Arial" w:cs="Arial"/>
          <w:sz w:val="24"/>
          <w:szCs w:val="24"/>
          <w:lang w:val="en-IE"/>
        </w:rPr>
        <w:t xml:space="preserve"> of the Authority</w:t>
      </w:r>
      <w:r w:rsidRPr="00CD4F28">
        <w:rPr>
          <w:rFonts w:ascii="Arial" w:hAnsi="Arial" w:cs="Arial"/>
          <w:sz w:val="24"/>
          <w:szCs w:val="24"/>
          <w:lang w:val="en-IE"/>
        </w:rPr>
        <w:t xml:space="preserve">. These may include </w:t>
      </w:r>
      <w:r w:rsidR="009219D2" w:rsidRPr="00CD4F28">
        <w:rPr>
          <w:rFonts w:ascii="Arial" w:hAnsi="Arial" w:cs="Arial"/>
          <w:sz w:val="24"/>
          <w:szCs w:val="24"/>
          <w:lang w:val="en-IE"/>
        </w:rPr>
        <w:t xml:space="preserve">the </w:t>
      </w:r>
      <w:r w:rsidRPr="00CD4F28">
        <w:rPr>
          <w:rFonts w:ascii="Arial" w:hAnsi="Arial" w:cs="Arial"/>
          <w:sz w:val="24"/>
          <w:szCs w:val="24"/>
          <w:lang w:val="en-IE"/>
        </w:rPr>
        <w:t>s</w:t>
      </w:r>
      <w:r w:rsidR="009219D2" w:rsidRPr="00CD4F28">
        <w:rPr>
          <w:rFonts w:ascii="Arial" w:hAnsi="Arial" w:cs="Arial"/>
          <w:sz w:val="24"/>
          <w:szCs w:val="24"/>
          <w:lang w:val="en-IE"/>
        </w:rPr>
        <w:t xml:space="preserve">ingle </w:t>
      </w:r>
      <w:r w:rsidRPr="00CD4F28">
        <w:rPr>
          <w:rFonts w:ascii="Arial" w:hAnsi="Arial" w:cs="Arial"/>
          <w:sz w:val="24"/>
          <w:szCs w:val="24"/>
          <w:lang w:val="en-IE"/>
        </w:rPr>
        <w:t>d</w:t>
      </w:r>
      <w:r w:rsidR="009219D2" w:rsidRPr="00CD4F28">
        <w:rPr>
          <w:rFonts w:ascii="Arial" w:hAnsi="Arial" w:cs="Arial"/>
          <w:sz w:val="24"/>
          <w:szCs w:val="24"/>
          <w:lang w:val="en-IE"/>
        </w:rPr>
        <w:t xml:space="preserve">igital </w:t>
      </w:r>
      <w:r w:rsidRPr="00CD4F28">
        <w:rPr>
          <w:rFonts w:ascii="Arial" w:hAnsi="Arial" w:cs="Arial"/>
          <w:sz w:val="24"/>
          <w:szCs w:val="24"/>
          <w:lang w:val="en-IE"/>
        </w:rPr>
        <w:t>g</w:t>
      </w:r>
      <w:r w:rsidR="009219D2" w:rsidRPr="00CD4F28">
        <w:rPr>
          <w:rFonts w:ascii="Arial" w:hAnsi="Arial" w:cs="Arial"/>
          <w:sz w:val="24"/>
          <w:szCs w:val="24"/>
          <w:lang w:val="en-IE"/>
        </w:rPr>
        <w:t>ateway</w:t>
      </w:r>
      <w:r w:rsidRPr="00CD4F28">
        <w:rPr>
          <w:rFonts w:ascii="Arial" w:hAnsi="Arial" w:cs="Arial"/>
          <w:sz w:val="24"/>
          <w:szCs w:val="24"/>
          <w:lang w:val="en-IE"/>
        </w:rPr>
        <w:t xml:space="preserve">, the bodies </w:t>
      </w:r>
      <w:r w:rsidR="007E2C99" w:rsidRPr="00CD4F28">
        <w:rPr>
          <w:rFonts w:ascii="Arial" w:hAnsi="Arial" w:cs="Arial"/>
          <w:sz w:val="24"/>
          <w:szCs w:val="24"/>
          <w:lang w:val="en-IE"/>
        </w:rPr>
        <w:t>promoting equal treatment and supporting workers in the European Union and their family members</w:t>
      </w:r>
      <w:r w:rsidRPr="00CD4F28">
        <w:rPr>
          <w:rFonts w:ascii="Arial" w:hAnsi="Arial" w:cs="Arial"/>
          <w:sz w:val="24"/>
          <w:szCs w:val="24"/>
          <w:lang w:val="en-IE"/>
        </w:rPr>
        <w:t xml:space="preserve">, and the social aspects of road transport legislation. </w:t>
      </w:r>
      <w:r w:rsidR="00364013" w:rsidRPr="00CD4F28">
        <w:rPr>
          <w:rFonts w:ascii="Arial" w:hAnsi="Arial" w:cs="Arial"/>
          <w:sz w:val="24"/>
          <w:szCs w:val="24"/>
          <w:lang w:val="en-IE"/>
        </w:rPr>
        <w:t xml:space="preserve">The relevant bodies at EU level will be called upon to participating. </w:t>
      </w:r>
      <w:r w:rsidRPr="00CD4F28">
        <w:rPr>
          <w:rFonts w:ascii="Arial" w:hAnsi="Arial" w:cs="Arial"/>
          <w:sz w:val="24"/>
          <w:szCs w:val="24"/>
          <w:lang w:val="en-IE"/>
        </w:rPr>
        <w:t xml:space="preserve"> </w:t>
      </w:r>
      <w:r w:rsidR="000D2F30" w:rsidRPr="00CD4F28">
        <w:rPr>
          <w:rFonts w:ascii="Arial" w:hAnsi="Arial" w:cs="Arial"/>
          <w:sz w:val="24"/>
          <w:szCs w:val="24"/>
          <w:lang w:val="en-IE"/>
        </w:rPr>
        <w:t xml:space="preserve"> </w:t>
      </w:r>
    </w:p>
    <w:p w14:paraId="5E8392EE" w14:textId="77777777" w:rsidR="000C69A5" w:rsidRPr="00CD4F28" w:rsidRDefault="000C69A5" w:rsidP="00A73694">
      <w:pPr>
        <w:pStyle w:val="BodyText"/>
        <w:tabs>
          <w:tab w:val="left" w:pos="0"/>
        </w:tabs>
        <w:spacing w:line="276" w:lineRule="auto"/>
        <w:ind w:right="283"/>
        <w:jc w:val="both"/>
        <w:rPr>
          <w:rFonts w:ascii="Arial" w:hAnsi="Arial" w:cs="Arial"/>
          <w:sz w:val="24"/>
          <w:szCs w:val="24"/>
          <w:lang w:val="en-IE"/>
        </w:rPr>
      </w:pPr>
    </w:p>
    <w:p w14:paraId="78A89AE3" w14:textId="32729497" w:rsidR="000C69A5" w:rsidRPr="00CD4F28" w:rsidRDefault="003F5F00" w:rsidP="00D03DF3">
      <w:pPr>
        <w:pStyle w:val="BodyText"/>
        <w:numPr>
          <w:ilvl w:val="2"/>
          <w:numId w:val="7"/>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Support with translation</w:t>
      </w:r>
    </w:p>
    <w:p w14:paraId="774ADBEA" w14:textId="77777777" w:rsidR="000C69A5" w:rsidRPr="00CD4F28" w:rsidRDefault="000C69A5" w:rsidP="00A73694">
      <w:pPr>
        <w:pStyle w:val="BodyText"/>
        <w:tabs>
          <w:tab w:val="left" w:pos="0"/>
        </w:tabs>
        <w:spacing w:line="276" w:lineRule="auto"/>
        <w:ind w:right="283"/>
        <w:jc w:val="both"/>
        <w:rPr>
          <w:rFonts w:ascii="Arial" w:hAnsi="Arial" w:cs="Arial"/>
          <w:b/>
          <w:sz w:val="24"/>
          <w:szCs w:val="24"/>
          <w:lang w:val="en-IE"/>
        </w:rPr>
      </w:pPr>
    </w:p>
    <w:p w14:paraId="3CB476AB" w14:textId="3CC2623F" w:rsidR="00A30144" w:rsidRPr="00CD4F28" w:rsidRDefault="000C69A5"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w:t>
      </w:r>
      <w:r w:rsidR="00FF167A" w:rsidRPr="00CD4F28">
        <w:rPr>
          <w:rFonts w:ascii="Arial" w:hAnsi="Arial" w:cs="Arial"/>
          <w:sz w:val="24"/>
          <w:szCs w:val="24"/>
          <w:lang w:val="en-IE"/>
        </w:rPr>
        <w:t xml:space="preserve">support the </w:t>
      </w:r>
      <w:r w:rsidRPr="00CD4F28">
        <w:rPr>
          <w:rFonts w:ascii="Arial" w:hAnsi="Arial" w:cs="Arial"/>
          <w:sz w:val="24"/>
          <w:szCs w:val="24"/>
          <w:lang w:val="en-IE"/>
        </w:rPr>
        <w:t>translation</w:t>
      </w:r>
      <w:r w:rsidR="00FF167A" w:rsidRPr="00CD4F28">
        <w:rPr>
          <w:rFonts w:ascii="Arial" w:hAnsi="Arial" w:cs="Arial"/>
          <w:sz w:val="24"/>
          <w:szCs w:val="24"/>
          <w:lang w:val="en-IE"/>
        </w:rPr>
        <w:t xml:space="preserve"> of</w:t>
      </w:r>
      <w:r w:rsidRPr="00CD4F28">
        <w:rPr>
          <w:rFonts w:ascii="Arial" w:hAnsi="Arial" w:cs="Arial"/>
          <w:sz w:val="24"/>
          <w:szCs w:val="24"/>
          <w:lang w:val="en-IE"/>
        </w:rPr>
        <w:t xml:space="preserve"> national websites providing information on labour mobility</w:t>
      </w:r>
      <w:r w:rsidR="00D8437E" w:rsidRPr="00CD4F28">
        <w:rPr>
          <w:rFonts w:ascii="Arial" w:hAnsi="Arial" w:cs="Arial"/>
          <w:sz w:val="24"/>
          <w:szCs w:val="24"/>
          <w:lang w:val="en-IE"/>
        </w:rPr>
        <w:t xml:space="preserve"> and social security coordination</w:t>
      </w:r>
      <w:r w:rsidR="00A30144" w:rsidRPr="00CD4F28">
        <w:rPr>
          <w:rFonts w:ascii="Arial" w:hAnsi="Arial" w:cs="Arial"/>
          <w:sz w:val="24"/>
          <w:szCs w:val="24"/>
          <w:lang w:val="en-IE"/>
        </w:rPr>
        <w:t xml:space="preserve">. The </w:t>
      </w:r>
      <w:r w:rsidR="00BB44A6" w:rsidRPr="00CD4F28">
        <w:rPr>
          <w:rFonts w:ascii="Arial" w:hAnsi="Arial" w:cs="Arial"/>
          <w:sz w:val="24"/>
          <w:szCs w:val="24"/>
          <w:lang w:val="en-IE"/>
        </w:rPr>
        <w:t>working</w:t>
      </w:r>
      <w:r w:rsidR="00A30144" w:rsidRPr="00CD4F28">
        <w:rPr>
          <w:rFonts w:ascii="Arial" w:hAnsi="Arial" w:cs="Arial"/>
          <w:sz w:val="24"/>
          <w:szCs w:val="24"/>
          <w:lang w:val="en-IE"/>
        </w:rPr>
        <w:t xml:space="preserve"> group</w:t>
      </w:r>
      <w:r w:rsidR="00BB44A6" w:rsidRPr="00CD4F28">
        <w:rPr>
          <w:rFonts w:ascii="Arial" w:hAnsi="Arial" w:cs="Arial"/>
          <w:sz w:val="24"/>
          <w:szCs w:val="24"/>
          <w:lang w:val="en-IE"/>
        </w:rPr>
        <w:t xml:space="preserve"> on information</w:t>
      </w:r>
      <w:r w:rsidR="00A30144" w:rsidRPr="00CD4F28">
        <w:rPr>
          <w:rFonts w:ascii="Arial" w:hAnsi="Arial" w:cs="Arial"/>
          <w:sz w:val="24"/>
          <w:szCs w:val="24"/>
          <w:lang w:val="en-IE"/>
        </w:rPr>
        <w:t xml:space="preserve"> will defin</w:t>
      </w:r>
      <w:r w:rsidR="005F705F" w:rsidRPr="00CD4F28">
        <w:rPr>
          <w:rFonts w:ascii="Arial" w:hAnsi="Arial" w:cs="Arial"/>
          <w:sz w:val="24"/>
          <w:szCs w:val="24"/>
          <w:lang w:val="en-IE"/>
        </w:rPr>
        <w:t>e</w:t>
      </w:r>
      <w:r w:rsidR="00A30144" w:rsidRPr="00CD4F28">
        <w:rPr>
          <w:rFonts w:ascii="Arial" w:hAnsi="Arial" w:cs="Arial"/>
          <w:sz w:val="24"/>
          <w:szCs w:val="24"/>
          <w:lang w:val="en-IE"/>
        </w:rPr>
        <w:t xml:space="preserve"> access criteria to and scope of translation services, also in line with the similar practice in the context of the single digital gateway.</w:t>
      </w:r>
    </w:p>
    <w:p w14:paraId="76943742" w14:textId="77777777" w:rsidR="00A30144" w:rsidRPr="00CD4F28" w:rsidRDefault="00A30144" w:rsidP="00A73694">
      <w:pPr>
        <w:pStyle w:val="BodyText"/>
        <w:tabs>
          <w:tab w:val="left" w:pos="0"/>
        </w:tabs>
        <w:spacing w:line="276" w:lineRule="auto"/>
        <w:ind w:right="283"/>
        <w:jc w:val="both"/>
        <w:rPr>
          <w:rFonts w:ascii="Arial" w:hAnsi="Arial" w:cs="Arial"/>
          <w:b/>
          <w:sz w:val="24"/>
          <w:szCs w:val="24"/>
          <w:lang w:val="en-IE"/>
        </w:rPr>
      </w:pPr>
    </w:p>
    <w:tbl>
      <w:tblPr>
        <w:tblStyle w:val="TableGrid"/>
        <w:tblW w:w="0" w:type="auto"/>
        <w:tblInd w:w="108" w:type="dxa"/>
        <w:tblLook w:val="04A0" w:firstRow="1" w:lastRow="0" w:firstColumn="1" w:lastColumn="0" w:noHBand="0" w:noVBand="1"/>
      </w:tblPr>
      <w:tblGrid>
        <w:gridCol w:w="2552"/>
        <w:gridCol w:w="3402"/>
        <w:gridCol w:w="1427"/>
        <w:gridCol w:w="2085"/>
      </w:tblGrid>
      <w:tr w:rsidR="003F5F00" w:rsidRPr="00CD4F28" w14:paraId="548AD4D1" w14:textId="77777777" w:rsidTr="0056195E">
        <w:tc>
          <w:tcPr>
            <w:tcW w:w="2552" w:type="dxa"/>
            <w:vAlign w:val="center"/>
          </w:tcPr>
          <w:p w14:paraId="3A498270" w14:textId="2DE25BA3" w:rsidR="003F5F00" w:rsidRPr="00CD4F28" w:rsidRDefault="003F5F00"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Activity</w:t>
            </w:r>
          </w:p>
        </w:tc>
        <w:tc>
          <w:tcPr>
            <w:tcW w:w="3402" w:type="dxa"/>
            <w:vAlign w:val="center"/>
          </w:tcPr>
          <w:p w14:paraId="311DCBBE" w14:textId="281B45A3" w:rsidR="003F5F00" w:rsidRPr="00CD4F28" w:rsidRDefault="003F5F00"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Method</w:t>
            </w:r>
          </w:p>
        </w:tc>
        <w:tc>
          <w:tcPr>
            <w:tcW w:w="1427" w:type="dxa"/>
            <w:vAlign w:val="center"/>
          </w:tcPr>
          <w:p w14:paraId="5F1E15AF" w14:textId="7F63AD27" w:rsidR="003F5F00" w:rsidRPr="00CD4F28" w:rsidRDefault="003F5F00"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Time</w:t>
            </w:r>
          </w:p>
        </w:tc>
        <w:tc>
          <w:tcPr>
            <w:tcW w:w="2085" w:type="dxa"/>
            <w:vAlign w:val="center"/>
          </w:tcPr>
          <w:p w14:paraId="2032B65D" w14:textId="503D96ED" w:rsidR="003F5F00" w:rsidRPr="00CD4F28" w:rsidRDefault="003F5F00"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2020 Estimate</w:t>
            </w:r>
          </w:p>
        </w:tc>
      </w:tr>
      <w:tr w:rsidR="003F5F00" w:rsidRPr="00CD4F28" w14:paraId="13171E66" w14:textId="77777777" w:rsidTr="0056195E">
        <w:tc>
          <w:tcPr>
            <w:tcW w:w="2552" w:type="dxa"/>
            <w:vAlign w:val="center"/>
          </w:tcPr>
          <w:p w14:paraId="6D133741" w14:textId="55DA7114"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Working Group</w:t>
            </w:r>
          </w:p>
        </w:tc>
        <w:tc>
          <w:tcPr>
            <w:tcW w:w="3402" w:type="dxa"/>
            <w:vAlign w:val="center"/>
          </w:tcPr>
          <w:p w14:paraId="153BB6F2" w14:textId="5E820E6B"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Organisation of the meetings, reimbursement of costs</w:t>
            </w:r>
          </w:p>
        </w:tc>
        <w:tc>
          <w:tcPr>
            <w:tcW w:w="1427" w:type="dxa"/>
            <w:vAlign w:val="center"/>
          </w:tcPr>
          <w:p w14:paraId="2EE61EFB" w14:textId="518922FB" w:rsidR="003F5F00" w:rsidRPr="00CD4F28" w:rsidRDefault="003F5F00"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4 meetings</w:t>
            </w:r>
          </w:p>
        </w:tc>
        <w:tc>
          <w:tcPr>
            <w:tcW w:w="2085" w:type="dxa"/>
            <w:vAlign w:val="center"/>
          </w:tcPr>
          <w:p w14:paraId="4D3F5E72" w14:textId="589BD6B2" w:rsidR="003F5F00" w:rsidRPr="00CD4F28" w:rsidRDefault="003F5F00" w:rsidP="00A73694">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120 000</w:t>
            </w:r>
          </w:p>
        </w:tc>
      </w:tr>
      <w:tr w:rsidR="003F5F00" w:rsidRPr="00CD4F28" w14:paraId="3AD491C8" w14:textId="77777777" w:rsidTr="0056195E">
        <w:tc>
          <w:tcPr>
            <w:tcW w:w="2552" w:type="dxa"/>
            <w:vAlign w:val="center"/>
          </w:tcPr>
          <w:p w14:paraId="5DB6C085" w14:textId="1A339798"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Exploratory work (survey and studies)</w:t>
            </w:r>
          </w:p>
        </w:tc>
        <w:tc>
          <w:tcPr>
            <w:tcW w:w="3402" w:type="dxa"/>
            <w:vAlign w:val="center"/>
          </w:tcPr>
          <w:p w14:paraId="47049305" w14:textId="053B5A05"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Service contract</w:t>
            </w:r>
          </w:p>
        </w:tc>
        <w:tc>
          <w:tcPr>
            <w:tcW w:w="1427" w:type="dxa"/>
            <w:vAlign w:val="center"/>
          </w:tcPr>
          <w:p w14:paraId="15890574" w14:textId="666B7FDF" w:rsidR="003F5F00" w:rsidRPr="00CD4F28" w:rsidRDefault="003F5F00"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Q2 - Q4</w:t>
            </w:r>
          </w:p>
        </w:tc>
        <w:tc>
          <w:tcPr>
            <w:tcW w:w="2085" w:type="dxa"/>
            <w:vAlign w:val="center"/>
          </w:tcPr>
          <w:p w14:paraId="44A2F66D" w14:textId="45DD5DFE" w:rsidR="003F5F00" w:rsidRPr="00CD4F28" w:rsidRDefault="003F5F00" w:rsidP="00A73694">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300 000</w:t>
            </w:r>
          </w:p>
        </w:tc>
      </w:tr>
      <w:tr w:rsidR="003F5F00" w:rsidRPr="00CD4F28" w14:paraId="71AB22F4" w14:textId="77777777" w:rsidTr="0056195E">
        <w:tc>
          <w:tcPr>
            <w:tcW w:w="2552" w:type="dxa"/>
            <w:vAlign w:val="center"/>
          </w:tcPr>
          <w:p w14:paraId="34702270" w14:textId="7C3853E6"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Workshops</w:t>
            </w:r>
          </w:p>
        </w:tc>
        <w:tc>
          <w:tcPr>
            <w:tcW w:w="3402" w:type="dxa"/>
            <w:vAlign w:val="center"/>
          </w:tcPr>
          <w:p w14:paraId="4CE5DF3B" w14:textId="025CE1B8"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Organisation of the meetings, reimbursement of costs</w:t>
            </w:r>
          </w:p>
        </w:tc>
        <w:tc>
          <w:tcPr>
            <w:tcW w:w="1427" w:type="dxa"/>
            <w:vAlign w:val="center"/>
          </w:tcPr>
          <w:p w14:paraId="29B1AB48" w14:textId="4D455CEF" w:rsidR="003F5F00" w:rsidRPr="00CD4F28" w:rsidRDefault="003F5F00"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Q3 - Q4</w:t>
            </w:r>
          </w:p>
        </w:tc>
        <w:tc>
          <w:tcPr>
            <w:tcW w:w="2085" w:type="dxa"/>
            <w:vAlign w:val="center"/>
          </w:tcPr>
          <w:p w14:paraId="2004C29F" w14:textId="622116F6" w:rsidR="003F5F00" w:rsidRPr="00CD4F28" w:rsidRDefault="003F5F00" w:rsidP="00A73694">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75 000</w:t>
            </w:r>
          </w:p>
        </w:tc>
      </w:tr>
      <w:tr w:rsidR="003F5F00" w:rsidRPr="00CD4F28" w14:paraId="2CB81EA7" w14:textId="77777777" w:rsidTr="0056195E">
        <w:tc>
          <w:tcPr>
            <w:tcW w:w="2552" w:type="dxa"/>
            <w:vAlign w:val="center"/>
          </w:tcPr>
          <w:p w14:paraId="59AD8793" w14:textId="43ECB5CC"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Translation</w:t>
            </w:r>
          </w:p>
        </w:tc>
        <w:tc>
          <w:tcPr>
            <w:tcW w:w="3402" w:type="dxa"/>
            <w:vAlign w:val="center"/>
          </w:tcPr>
          <w:p w14:paraId="7137072D" w14:textId="2CBCF284" w:rsidR="003F5F00" w:rsidRPr="00CD4F28" w:rsidRDefault="003F5F00"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 xml:space="preserve">Translation Centre </w:t>
            </w:r>
            <w:r w:rsidR="00FF167A" w:rsidRPr="00CD4F28">
              <w:rPr>
                <w:rFonts w:ascii="Arial" w:hAnsi="Arial" w:cs="Arial"/>
                <w:sz w:val="22"/>
                <w:szCs w:val="24"/>
                <w:lang w:val="en-IE"/>
              </w:rPr>
              <w:t>or service contract</w:t>
            </w:r>
          </w:p>
        </w:tc>
        <w:tc>
          <w:tcPr>
            <w:tcW w:w="1427" w:type="dxa"/>
            <w:vAlign w:val="center"/>
          </w:tcPr>
          <w:p w14:paraId="671B39BD" w14:textId="14432C08" w:rsidR="003F5F00" w:rsidRPr="00CD4F28" w:rsidRDefault="003F5F00"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Q3 – Q4</w:t>
            </w:r>
          </w:p>
        </w:tc>
        <w:tc>
          <w:tcPr>
            <w:tcW w:w="2085" w:type="dxa"/>
            <w:vAlign w:val="center"/>
          </w:tcPr>
          <w:p w14:paraId="1A82F32F" w14:textId="1F32908D" w:rsidR="003F5F00" w:rsidRPr="00CD4F28" w:rsidRDefault="003F5F00" w:rsidP="00A73694">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250 000</w:t>
            </w:r>
          </w:p>
        </w:tc>
      </w:tr>
      <w:tr w:rsidR="003F5F00" w:rsidRPr="00CD4F28" w14:paraId="3E3EB6C7" w14:textId="77777777" w:rsidTr="0056195E">
        <w:tc>
          <w:tcPr>
            <w:tcW w:w="2552" w:type="dxa"/>
            <w:shd w:val="clear" w:color="auto" w:fill="EEECE1" w:themeFill="background2"/>
            <w:vAlign w:val="center"/>
          </w:tcPr>
          <w:p w14:paraId="3A065CD0" w14:textId="016D00CA" w:rsidR="003F5F00" w:rsidRPr="00CD4F28" w:rsidRDefault="003F5F00"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Total</w:t>
            </w:r>
          </w:p>
        </w:tc>
        <w:tc>
          <w:tcPr>
            <w:tcW w:w="3402" w:type="dxa"/>
            <w:shd w:val="clear" w:color="auto" w:fill="EEECE1" w:themeFill="background2"/>
            <w:vAlign w:val="center"/>
          </w:tcPr>
          <w:p w14:paraId="212375E6" w14:textId="77777777" w:rsidR="003F5F00" w:rsidRPr="00CD4F28" w:rsidRDefault="003F5F00" w:rsidP="00A73694">
            <w:pPr>
              <w:pStyle w:val="BodyText"/>
              <w:tabs>
                <w:tab w:val="left" w:pos="0"/>
              </w:tabs>
              <w:spacing w:line="276" w:lineRule="auto"/>
              <w:ind w:right="283"/>
              <w:rPr>
                <w:rFonts w:ascii="Arial" w:hAnsi="Arial" w:cs="Arial"/>
                <w:sz w:val="22"/>
                <w:szCs w:val="24"/>
                <w:lang w:val="en-IE"/>
              </w:rPr>
            </w:pPr>
          </w:p>
        </w:tc>
        <w:tc>
          <w:tcPr>
            <w:tcW w:w="1427" w:type="dxa"/>
            <w:shd w:val="clear" w:color="auto" w:fill="EEECE1" w:themeFill="background2"/>
            <w:vAlign w:val="center"/>
          </w:tcPr>
          <w:p w14:paraId="686EC654" w14:textId="77777777" w:rsidR="003F5F00" w:rsidRPr="00CD4F28" w:rsidRDefault="003F5F00" w:rsidP="00A73694">
            <w:pPr>
              <w:pStyle w:val="BodyText"/>
              <w:tabs>
                <w:tab w:val="left" w:pos="0"/>
              </w:tabs>
              <w:spacing w:line="276" w:lineRule="auto"/>
              <w:ind w:right="283"/>
              <w:jc w:val="center"/>
              <w:rPr>
                <w:rFonts w:ascii="Arial" w:hAnsi="Arial" w:cs="Arial"/>
                <w:sz w:val="22"/>
                <w:szCs w:val="24"/>
                <w:lang w:val="en-IE"/>
              </w:rPr>
            </w:pPr>
          </w:p>
        </w:tc>
        <w:tc>
          <w:tcPr>
            <w:tcW w:w="2085" w:type="dxa"/>
            <w:shd w:val="clear" w:color="auto" w:fill="EEECE1" w:themeFill="background2"/>
            <w:vAlign w:val="center"/>
          </w:tcPr>
          <w:p w14:paraId="7CBB732E" w14:textId="0DA14E62" w:rsidR="003F5F00" w:rsidRPr="00CD4F28" w:rsidRDefault="003F5F00" w:rsidP="00A73694">
            <w:pPr>
              <w:pStyle w:val="BodyText"/>
              <w:tabs>
                <w:tab w:val="left" w:pos="0"/>
              </w:tabs>
              <w:spacing w:line="276" w:lineRule="auto"/>
              <w:ind w:right="283"/>
              <w:jc w:val="right"/>
              <w:rPr>
                <w:rFonts w:ascii="Arial" w:hAnsi="Arial" w:cs="Arial"/>
                <w:b/>
                <w:sz w:val="22"/>
                <w:szCs w:val="24"/>
                <w:lang w:val="en-IE"/>
              </w:rPr>
            </w:pPr>
            <w:r w:rsidRPr="00CD4F28">
              <w:rPr>
                <w:rFonts w:ascii="Arial" w:hAnsi="Arial" w:cs="Arial"/>
                <w:b/>
                <w:sz w:val="22"/>
                <w:szCs w:val="24"/>
                <w:lang w:val="en-IE"/>
              </w:rPr>
              <w:t>745 000</w:t>
            </w:r>
          </w:p>
        </w:tc>
      </w:tr>
      <w:tr w:rsidR="003F5F00" w:rsidRPr="00CD4F28" w14:paraId="395917AD" w14:textId="77777777" w:rsidTr="0056195E">
        <w:tc>
          <w:tcPr>
            <w:tcW w:w="2552" w:type="dxa"/>
            <w:shd w:val="clear" w:color="auto" w:fill="EEECE1" w:themeFill="background2"/>
            <w:vAlign w:val="center"/>
          </w:tcPr>
          <w:p w14:paraId="48B96062" w14:textId="12481498" w:rsidR="003F5F00" w:rsidRPr="00CD4F28" w:rsidRDefault="003F5F00"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Human Resources (FTE)</w:t>
            </w:r>
          </w:p>
        </w:tc>
        <w:tc>
          <w:tcPr>
            <w:tcW w:w="3402" w:type="dxa"/>
            <w:shd w:val="clear" w:color="auto" w:fill="EEECE1" w:themeFill="background2"/>
            <w:vAlign w:val="center"/>
          </w:tcPr>
          <w:p w14:paraId="0AB36B3E" w14:textId="77777777" w:rsidR="003F5F00" w:rsidRPr="00CD4F28" w:rsidRDefault="003F5F00" w:rsidP="00A73694">
            <w:pPr>
              <w:pStyle w:val="BodyText"/>
              <w:tabs>
                <w:tab w:val="left" w:pos="0"/>
              </w:tabs>
              <w:spacing w:line="276" w:lineRule="auto"/>
              <w:ind w:right="283"/>
              <w:rPr>
                <w:rFonts w:ascii="Arial" w:hAnsi="Arial" w:cs="Arial"/>
                <w:b/>
                <w:sz w:val="22"/>
                <w:szCs w:val="24"/>
                <w:lang w:val="en-IE"/>
              </w:rPr>
            </w:pPr>
          </w:p>
        </w:tc>
        <w:tc>
          <w:tcPr>
            <w:tcW w:w="1427" w:type="dxa"/>
            <w:shd w:val="clear" w:color="auto" w:fill="EEECE1" w:themeFill="background2"/>
            <w:vAlign w:val="center"/>
          </w:tcPr>
          <w:p w14:paraId="2025E29F" w14:textId="5F228B8F" w:rsidR="003F5F00" w:rsidRPr="00CD4F28" w:rsidRDefault="003F5F00"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Q1 – Q4</w:t>
            </w:r>
          </w:p>
        </w:tc>
        <w:tc>
          <w:tcPr>
            <w:tcW w:w="2085" w:type="dxa"/>
            <w:shd w:val="clear" w:color="auto" w:fill="EEECE1" w:themeFill="background2"/>
            <w:vAlign w:val="center"/>
          </w:tcPr>
          <w:p w14:paraId="6873B0F8" w14:textId="65CE042B" w:rsidR="003F5F00" w:rsidRPr="00CD4F28" w:rsidRDefault="003F5F00" w:rsidP="00A73694">
            <w:pPr>
              <w:pStyle w:val="BodyText"/>
              <w:tabs>
                <w:tab w:val="left" w:pos="0"/>
              </w:tabs>
              <w:spacing w:line="276" w:lineRule="auto"/>
              <w:ind w:right="283"/>
              <w:jc w:val="right"/>
              <w:rPr>
                <w:rFonts w:ascii="Arial" w:hAnsi="Arial" w:cs="Arial"/>
                <w:b/>
                <w:sz w:val="22"/>
                <w:szCs w:val="24"/>
                <w:lang w:val="en-IE"/>
              </w:rPr>
            </w:pPr>
            <w:r w:rsidRPr="00CD4F28">
              <w:rPr>
                <w:rFonts w:ascii="Arial" w:hAnsi="Arial" w:cs="Arial"/>
                <w:b/>
                <w:sz w:val="22"/>
                <w:szCs w:val="24"/>
                <w:lang w:val="en-IE"/>
              </w:rPr>
              <w:t>3 - 5</w:t>
            </w:r>
          </w:p>
        </w:tc>
      </w:tr>
    </w:tbl>
    <w:p w14:paraId="7B753190" w14:textId="6E9248D0" w:rsidR="00B93409" w:rsidRPr="00CD4F28" w:rsidRDefault="00B93409" w:rsidP="00A73694">
      <w:pPr>
        <w:pStyle w:val="BodyText"/>
        <w:tabs>
          <w:tab w:val="left" w:pos="0"/>
        </w:tabs>
        <w:spacing w:line="276" w:lineRule="auto"/>
        <w:ind w:right="283"/>
        <w:rPr>
          <w:rFonts w:ascii="Arial" w:hAnsi="Arial" w:cs="Arial"/>
          <w:b/>
          <w:sz w:val="24"/>
          <w:szCs w:val="24"/>
          <w:lang w:val="en-IE"/>
        </w:rPr>
      </w:pPr>
    </w:p>
    <w:p w14:paraId="5A147564" w14:textId="77777777" w:rsidR="00096411" w:rsidRPr="00CD4F28" w:rsidRDefault="00096411" w:rsidP="00A73694">
      <w:pPr>
        <w:pStyle w:val="Heading1"/>
        <w:ind w:left="360"/>
      </w:pPr>
      <w:bookmarkStart w:id="15" w:name="_Toc23423344"/>
      <w:bookmarkStart w:id="16" w:name="_Toc23425447"/>
    </w:p>
    <w:p w14:paraId="7D005329" w14:textId="4DD7C145" w:rsidR="00B93409" w:rsidRPr="00CD4F28" w:rsidRDefault="00A03501" w:rsidP="00A73694">
      <w:pPr>
        <w:pStyle w:val="Heading1"/>
      </w:pPr>
      <w:bookmarkStart w:id="17" w:name="_Toc40092191"/>
      <w:r w:rsidRPr="00CD4F28">
        <w:t xml:space="preserve">2.2 </w:t>
      </w:r>
      <w:r w:rsidR="00B93409" w:rsidRPr="00CD4F28">
        <w:t xml:space="preserve">Coordination and support </w:t>
      </w:r>
      <w:r w:rsidR="007E2C99" w:rsidRPr="00CD4F28">
        <w:t xml:space="preserve">of </w:t>
      </w:r>
      <w:r w:rsidR="00B93409" w:rsidRPr="00CD4F28">
        <w:t>co</w:t>
      </w:r>
      <w:r w:rsidR="007E2C99" w:rsidRPr="00CD4F28">
        <w:t xml:space="preserve">ncerted </w:t>
      </w:r>
      <w:r w:rsidR="00B93409" w:rsidRPr="00CD4F28">
        <w:t>and joint inspections</w:t>
      </w:r>
      <w:bookmarkEnd w:id="15"/>
      <w:bookmarkEnd w:id="16"/>
      <w:bookmarkEnd w:id="17"/>
    </w:p>
    <w:p w14:paraId="0E46451B" w14:textId="3B90B012" w:rsidR="00E813D6" w:rsidRPr="00CD4F28" w:rsidRDefault="00E813D6" w:rsidP="00A73694">
      <w:pPr>
        <w:pStyle w:val="BodyText"/>
        <w:tabs>
          <w:tab w:val="left" w:pos="0"/>
        </w:tabs>
        <w:spacing w:line="276" w:lineRule="auto"/>
        <w:ind w:right="283"/>
        <w:jc w:val="both"/>
        <w:rPr>
          <w:rFonts w:ascii="Arial" w:hAnsi="Arial" w:cs="Arial"/>
          <w:sz w:val="24"/>
          <w:szCs w:val="24"/>
          <w:lang w:val="en-IE"/>
        </w:rPr>
      </w:pPr>
    </w:p>
    <w:p w14:paraId="28CF4EF2" w14:textId="7BE9DF88" w:rsidR="00703F04" w:rsidRPr="00CD4F28" w:rsidRDefault="00703F04"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European Labour Authority</w:t>
      </w:r>
      <w:r w:rsidR="00FD5E9A" w:rsidRPr="00CD4F28">
        <w:rPr>
          <w:rFonts w:ascii="Arial" w:hAnsi="Arial" w:cs="Arial"/>
          <w:sz w:val="24"/>
          <w:szCs w:val="24"/>
          <w:lang w:val="en-IE"/>
        </w:rPr>
        <w:t xml:space="preserve"> </w:t>
      </w:r>
      <w:r w:rsidR="007E2C99" w:rsidRPr="00CD4F28">
        <w:rPr>
          <w:rFonts w:ascii="Arial" w:hAnsi="Arial" w:cs="Arial"/>
          <w:sz w:val="24"/>
          <w:szCs w:val="24"/>
          <w:lang w:val="en-IE"/>
        </w:rPr>
        <w:t>is tasked with</w:t>
      </w:r>
      <w:r w:rsidRPr="00CD4F28">
        <w:rPr>
          <w:rFonts w:ascii="Arial" w:hAnsi="Arial" w:cs="Arial"/>
          <w:sz w:val="24"/>
          <w:szCs w:val="24"/>
          <w:lang w:val="en-IE"/>
        </w:rPr>
        <w:t xml:space="preserve"> coordinating and supporting concerted and joint inspections. Subject to the prior agreement of the participating Member States, the Authority will facilitate the conclusion of an inspection agreement specifying the terms and conditions of the inspection, and will provide support to carrying out such inspections.</w:t>
      </w:r>
      <w:r w:rsidR="00023EE8" w:rsidRPr="00CD4F28">
        <w:rPr>
          <w:rFonts w:ascii="Arial" w:hAnsi="Arial" w:cs="Arial"/>
          <w:sz w:val="24"/>
          <w:szCs w:val="24"/>
          <w:lang w:val="en-IE"/>
        </w:rPr>
        <w:t xml:space="preserve"> </w:t>
      </w:r>
      <w:r w:rsidR="00D27C4B" w:rsidRPr="00CD4F28">
        <w:rPr>
          <w:rFonts w:ascii="Arial" w:hAnsi="Arial" w:cs="Arial"/>
          <w:sz w:val="24"/>
          <w:szCs w:val="24"/>
          <w:lang w:val="en-IE"/>
        </w:rPr>
        <w:t>The founding Regulation defines the role of the Authority and some procedural standards to be complied with (see box below).</w:t>
      </w:r>
      <w:r w:rsidR="0036545E" w:rsidRPr="00CD4F28">
        <w:rPr>
          <w:rFonts w:ascii="Arial" w:hAnsi="Arial" w:cs="Arial"/>
          <w:sz w:val="24"/>
          <w:szCs w:val="24"/>
          <w:lang w:val="en-IE"/>
        </w:rPr>
        <w:t xml:space="preserve"> Some pilot activities have been carried out in the context of the European Platform to tackling Undeclared Work, which will provide an important </w:t>
      </w:r>
      <w:r w:rsidR="00C56FA2" w:rsidRPr="00CD4F28">
        <w:rPr>
          <w:rFonts w:ascii="Arial" w:hAnsi="Arial" w:cs="Arial"/>
          <w:sz w:val="24"/>
          <w:szCs w:val="24"/>
          <w:lang w:val="en-IE"/>
        </w:rPr>
        <w:t xml:space="preserve">starting </w:t>
      </w:r>
      <w:r w:rsidR="0036545E" w:rsidRPr="00CD4F28">
        <w:rPr>
          <w:rFonts w:ascii="Arial" w:hAnsi="Arial" w:cs="Arial"/>
          <w:sz w:val="24"/>
          <w:szCs w:val="24"/>
          <w:lang w:val="en-IE"/>
        </w:rPr>
        <w:t>basis.</w:t>
      </w:r>
    </w:p>
    <w:p w14:paraId="1C1E8B62" w14:textId="77777777" w:rsidR="00703F04" w:rsidRPr="00CD4F28" w:rsidRDefault="00703F04" w:rsidP="00A73694">
      <w:pPr>
        <w:pStyle w:val="BodyText"/>
        <w:tabs>
          <w:tab w:val="left" w:pos="0"/>
        </w:tabs>
        <w:spacing w:line="276" w:lineRule="auto"/>
        <w:ind w:right="283"/>
        <w:jc w:val="both"/>
        <w:rPr>
          <w:rFonts w:ascii="Arial"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ook w:val="04A0" w:firstRow="1" w:lastRow="0" w:firstColumn="1" w:lastColumn="0" w:noHBand="0" w:noVBand="1"/>
      </w:tblPr>
      <w:tblGrid>
        <w:gridCol w:w="9180"/>
      </w:tblGrid>
      <w:tr w:rsidR="00E813D6" w:rsidRPr="00CD4F28" w14:paraId="1F5CDB91" w14:textId="77777777" w:rsidTr="003B260F">
        <w:tc>
          <w:tcPr>
            <w:tcW w:w="9180" w:type="dxa"/>
            <w:shd w:val="clear" w:color="auto" w:fill="F2F2F2" w:themeFill="background1" w:themeFillShade="F2"/>
          </w:tcPr>
          <w:p w14:paraId="13859064" w14:textId="78DEDFCF" w:rsidR="00E813D6" w:rsidRPr="00CD4F28" w:rsidRDefault="00E813D6" w:rsidP="00A73694">
            <w:pPr>
              <w:tabs>
                <w:tab w:val="left" w:pos="0"/>
              </w:tabs>
              <w:spacing w:line="276" w:lineRule="auto"/>
              <w:ind w:right="283"/>
              <w:jc w:val="both"/>
              <w:rPr>
                <w:rFonts w:ascii="Arial" w:hAnsi="Arial" w:cs="Arial"/>
                <w:sz w:val="24"/>
                <w:szCs w:val="24"/>
                <w:lang w:val="en-IE"/>
              </w:rPr>
            </w:pPr>
            <w:r w:rsidRPr="00CD4F28">
              <w:rPr>
                <w:rFonts w:ascii="Arial" w:hAnsi="Arial" w:cs="Arial"/>
                <w:b/>
                <w:sz w:val="24"/>
                <w:szCs w:val="24"/>
                <w:lang w:val="en-IE"/>
              </w:rPr>
              <w:t>Articles 8 and 9</w:t>
            </w:r>
            <w:r w:rsidRPr="00CD4F28">
              <w:rPr>
                <w:rFonts w:ascii="Arial" w:hAnsi="Arial" w:cs="Arial"/>
                <w:sz w:val="24"/>
                <w:szCs w:val="24"/>
                <w:lang w:val="en-IE"/>
              </w:rPr>
              <w:t xml:space="preserve"> of the Regulation define the role of </w:t>
            </w:r>
            <w:r w:rsidR="007E2C99" w:rsidRPr="00CD4F28">
              <w:rPr>
                <w:rFonts w:ascii="Arial" w:hAnsi="Arial" w:cs="Arial"/>
                <w:sz w:val="24"/>
                <w:szCs w:val="24"/>
                <w:lang w:val="en-IE"/>
              </w:rPr>
              <w:t xml:space="preserve">the Authority </w:t>
            </w:r>
            <w:r w:rsidRPr="00CD4F28">
              <w:rPr>
                <w:rFonts w:ascii="Arial" w:hAnsi="Arial" w:cs="Arial"/>
                <w:sz w:val="24"/>
                <w:szCs w:val="24"/>
                <w:lang w:val="en-IE"/>
              </w:rPr>
              <w:t>in the “Coordination and support of concerted and joint inspections” (Art</w:t>
            </w:r>
            <w:r w:rsidR="007E2C99" w:rsidRPr="00CD4F28">
              <w:rPr>
                <w:rFonts w:ascii="Arial" w:hAnsi="Arial" w:cs="Arial"/>
                <w:sz w:val="24"/>
                <w:szCs w:val="24"/>
                <w:lang w:val="en-IE"/>
              </w:rPr>
              <w:t>icle</w:t>
            </w:r>
            <w:r w:rsidRPr="00CD4F28">
              <w:rPr>
                <w:rFonts w:ascii="Arial" w:hAnsi="Arial" w:cs="Arial"/>
                <w:sz w:val="24"/>
                <w:szCs w:val="24"/>
                <w:lang w:val="en-IE"/>
              </w:rPr>
              <w:t xml:space="preserve"> 8) and the necessary “Arrangements for concerted and joint inspections” (Art</w:t>
            </w:r>
            <w:r w:rsidR="007E2C99" w:rsidRPr="00CD4F28">
              <w:rPr>
                <w:rFonts w:ascii="Arial" w:hAnsi="Arial" w:cs="Arial"/>
                <w:sz w:val="24"/>
                <w:szCs w:val="24"/>
                <w:lang w:val="en-IE"/>
              </w:rPr>
              <w:t>icle</w:t>
            </w:r>
            <w:r w:rsidRPr="00CD4F28">
              <w:rPr>
                <w:rFonts w:ascii="Arial" w:hAnsi="Arial" w:cs="Arial"/>
                <w:sz w:val="24"/>
                <w:szCs w:val="24"/>
                <w:lang w:val="en-IE"/>
              </w:rPr>
              <w:t xml:space="preserve"> 9). </w:t>
            </w:r>
          </w:p>
          <w:p w14:paraId="0600FD43" w14:textId="77777777" w:rsidR="00E813D6" w:rsidRPr="00CD4F28" w:rsidRDefault="00E813D6" w:rsidP="00A73694">
            <w:pPr>
              <w:tabs>
                <w:tab w:val="left" w:pos="0"/>
              </w:tabs>
              <w:spacing w:line="276" w:lineRule="auto"/>
              <w:ind w:right="283"/>
              <w:jc w:val="both"/>
              <w:rPr>
                <w:rFonts w:ascii="Arial" w:hAnsi="Arial" w:cs="Arial"/>
                <w:sz w:val="24"/>
                <w:szCs w:val="24"/>
                <w:lang w:val="en-IE"/>
              </w:rPr>
            </w:pPr>
          </w:p>
          <w:p w14:paraId="40AE4179" w14:textId="3086F724" w:rsidR="001748D8" w:rsidRDefault="00E813D6" w:rsidP="0056195E">
            <w:pPr>
              <w:tabs>
                <w:tab w:val="left" w:pos="0"/>
              </w:tabs>
              <w:spacing w:line="276" w:lineRule="auto"/>
              <w:ind w:right="283"/>
              <w:jc w:val="both"/>
              <w:rPr>
                <w:rFonts w:ascii="Arial" w:hAnsi="Arial" w:cs="Arial"/>
                <w:sz w:val="24"/>
                <w:szCs w:val="24"/>
                <w:lang w:val="en-IE"/>
              </w:rPr>
            </w:pPr>
            <w:r w:rsidRPr="00CD4F28">
              <w:rPr>
                <w:rFonts w:ascii="Arial" w:hAnsi="Arial" w:cs="Arial"/>
                <w:b/>
                <w:sz w:val="24"/>
                <w:szCs w:val="24"/>
                <w:lang w:val="en-IE"/>
              </w:rPr>
              <w:t>Article 8</w:t>
            </w:r>
            <w:r w:rsidRPr="00CD4F28">
              <w:rPr>
                <w:rFonts w:ascii="Arial" w:hAnsi="Arial" w:cs="Arial"/>
                <w:sz w:val="24"/>
                <w:szCs w:val="24"/>
                <w:lang w:val="en-IE"/>
              </w:rPr>
              <w:t xml:space="preserve"> </w:t>
            </w:r>
            <w:r w:rsidR="00245E7C" w:rsidRPr="00CD4F28">
              <w:rPr>
                <w:rFonts w:ascii="Arial" w:hAnsi="Arial" w:cs="Arial"/>
                <w:sz w:val="24"/>
                <w:szCs w:val="24"/>
                <w:lang w:val="en-IE"/>
              </w:rPr>
              <w:t xml:space="preserve">of </w:t>
            </w:r>
            <w:r w:rsidRPr="00CD4F28">
              <w:rPr>
                <w:rFonts w:ascii="Arial" w:hAnsi="Arial" w:cs="Arial"/>
                <w:sz w:val="24"/>
                <w:szCs w:val="24"/>
                <w:lang w:val="en-IE"/>
              </w:rPr>
              <w:t xml:space="preserve">the Regulation specifies that </w:t>
            </w:r>
            <w:r w:rsidR="007073A4">
              <w:rPr>
                <w:rFonts w:ascii="Arial" w:hAnsi="Arial" w:cs="Arial"/>
                <w:sz w:val="24"/>
                <w:szCs w:val="24"/>
                <w:lang w:val="en-IE"/>
              </w:rPr>
              <w:t xml:space="preserve">at </w:t>
            </w:r>
            <w:r w:rsidRPr="00CD4F28">
              <w:rPr>
                <w:rFonts w:ascii="Arial" w:hAnsi="Arial" w:cs="Arial"/>
                <w:sz w:val="24"/>
                <w:szCs w:val="24"/>
                <w:lang w:val="en-IE"/>
              </w:rPr>
              <w:t>the request</w:t>
            </w:r>
            <w:r w:rsidR="007073A4">
              <w:rPr>
                <w:rFonts w:ascii="Arial" w:hAnsi="Arial" w:cs="Arial"/>
                <w:sz w:val="24"/>
                <w:szCs w:val="24"/>
                <w:lang w:val="en-IE"/>
              </w:rPr>
              <w:t xml:space="preserve"> of one or more Member State, the Authority shall coordinate and support concerted or joint inspections in the areas within the Authority’s competence</w:t>
            </w:r>
            <w:r w:rsidR="00D603F9">
              <w:rPr>
                <w:rFonts w:ascii="Arial" w:hAnsi="Arial" w:cs="Arial"/>
                <w:sz w:val="24"/>
                <w:szCs w:val="24"/>
                <w:lang w:val="en-IE"/>
              </w:rPr>
              <w:t xml:space="preserve">. </w:t>
            </w:r>
            <w:r w:rsidRPr="0056195E">
              <w:rPr>
                <w:rFonts w:ascii="Arial" w:hAnsi="Arial" w:cs="Arial"/>
                <w:sz w:val="24"/>
                <w:szCs w:val="24"/>
                <w:lang w:val="en-IE"/>
              </w:rPr>
              <w:t>The European Labour Authority</w:t>
            </w:r>
            <w:r w:rsidR="00D603F9">
              <w:rPr>
                <w:rFonts w:ascii="Arial" w:hAnsi="Arial" w:cs="Arial"/>
                <w:sz w:val="24"/>
                <w:szCs w:val="24"/>
                <w:lang w:val="en-IE"/>
              </w:rPr>
              <w:t xml:space="preserve"> may also, on its own initiative, suggest to the authorities of the Member States concerned</w:t>
            </w:r>
            <w:r w:rsidR="007073A4">
              <w:rPr>
                <w:rFonts w:ascii="Arial" w:hAnsi="Arial" w:cs="Arial"/>
                <w:sz w:val="24"/>
                <w:szCs w:val="24"/>
                <w:lang w:val="en-IE"/>
              </w:rPr>
              <w:t xml:space="preserve"> that they carry out a concerted or joint inspection.</w:t>
            </w:r>
            <w:r w:rsidR="00D603F9">
              <w:rPr>
                <w:rFonts w:ascii="Arial" w:hAnsi="Arial" w:cs="Arial"/>
                <w:sz w:val="24"/>
                <w:szCs w:val="24"/>
                <w:lang w:val="en-IE"/>
              </w:rPr>
              <w:t xml:space="preserve"> </w:t>
            </w:r>
            <w:r w:rsidRPr="0056195E">
              <w:rPr>
                <w:rFonts w:ascii="Arial" w:hAnsi="Arial" w:cs="Arial"/>
                <w:sz w:val="24"/>
                <w:szCs w:val="24"/>
                <w:lang w:val="en-IE"/>
              </w:rPr>
              <w:t>Social partner organisations at national level</w:t>
            </w:r>
            <w:r w:rsidR="007073A4">
              <w:rPr>
                <w:rFonts w:ascii="Arial" w:hAnsi="Arial" w:cs="Arial"/>
                <w:sz w:val="24"/>
                <w:szCs w:val="24"/>
                <w:lang w:val="en-IE"/>
              </w:rPr>
              <w:t xml:space="preserve"> may bring cases to the attention of the Authority.</w:t>
            </w:r>
            <w:r w:rsidR="001748D8">
              <w:rPr>
                <w:rFonts w:ascii="Arial" w:hAnsi="Arial" w:cs="Arial"/>
                <w:sz w:val="24"/>
                <w:szCs w:val="24"/>
                <w:lang w:val="en-IE"/>
              </w:rPr>
              <w:t xml:space="preserve"> </w:t>
            </w:r>
          </w:p>
          <w:p w14:paraId="3C52C396" w14:textId="77777777" w:rsidR="001748D8" w:rsidRDefault="001748D8" w:rsidP="0056195E">
            <w:pPr>
              <w:tabs>
                <w:tab w:val="left" w:pos="0"/>
              </w:tabs>
              <w:spacing w:line="276" w:lineRule="auto"/>
              <w:ind w:right="283"/>
              <w:jc w:val="both"/>
              <w:rPr>
                <w:rFonts w:ascii="Arial" w:hAnsi="Arial" w:cs="Arial"/>
                <w:sz w:val="24"/>
                <w:szCs w:val="24"/>
                <w:lang w:val="en-IE"/>
              </w:rPr>
            </w:pPr>
          </w:p>
          <w:p w14:paraId="719EF5BB" w14:textId="3936DF9F" w:rsidR="007073A4" w:rsidRDefault="001748D8" w:rsidP="0056195E">
            <w:pPr>
              <w:tabs>
                <w:tab w:val="left" w:pos="0"/>
              </w:tabs>
              <w:spacing w:line="276" w:lineRule="auto"/>
              <w:ind w:right="283"/>
              <w:jc w:val="both"/>
              <w:rPr>
                <w:rFonts w:ascii="Arial" w:hAnsi="Arial" w:cs="Arial"/>
                <w:sz w:val="24"/>
                <w:szCs w:val="24"/>
                <w:lang w:val="en-IE"/>
              </w:rPr>
            </w:pPr>
            <w:r>
              <w:rPr>
                <w:rFonts w:ascii="Arial" w:hAnsi="Arial" w:cs="Arial"/>
                <w:sz w:val="24"/>
                <w:szCs w:val="24"/>
                <w:lang w:val="en-IE"/>
              </w:rPr>
              <w:lastRenderedPageBreak/>
              <w:t>Furthermore, recital 19 specifies that where trade unions are in charge of inspections at national level, concerted and joint inspections should take place following the agreement of, and in cooperation with, the relevant social partners.</w:t>
            </w:r>
          </w:p>
          <w:p w14:paraId="3D774D34" w14:textId="44C3E490" w:rsidR="00E813D6" w:rsidRPr="0056195E" w:rsidRDefault="00E813D6" w:rsidP="0056195E">
            <w:pPr>
              <w:tabs>
                <w:tab w:val="left" w:pos="0"/>
              </w:tabs>
              <w:spacing w:line="276" w:lineRule="auto"/>
              <w:ind w:right="283"/>
              <w:jc w:val="both"/>
              <w:rPr>
                <w:rFonts w:ascii="Arial" w:hAnsi="Arial" w:cs="Arial"/>
                <w:sz w:val="24"/>
                <w:szCs w:val="24"/>
                <w:lang w:val="en-IE"/>
              </w:rPr>
            </w:pPr>
          </w:p>
          <w:p w14:paraId="24D995CA" w14:textId="488E54A4" w:rsidR="00E813D6" w:rsidRPr="00CD4F28" w:rsidRDefault="000C69A5" w:rsidP="00A73694">
            <w:pPr>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In all </w:t>
            </w:r>
            <w:r w:rsidR="00E813D6" w:rsidRPr="00CD4F28">
              <w:rPr>
                <w:rFonts w:ascii="Arial" w:hAnsi="Arial" w:cs="Arial"/>
                <w:sz w:val="24"/>
                <w:szCs w:val="24"/>
                <w:lang w:val="en-IE"/>
              </w:rPr>
              <w:t>case</w:t>
            </w:r>
            <w:r w:rsidRPr="00CD4F28">
              <w:rPr>
                <w:rFonts w:ascii="Arial" w:hAnsi="Arial" w:cs="Arial"/>
                <w:sz w:val="24"/>
                <w:szCs w:val="24"/>
                <w:lang w:val="en-IE"/>
              </w:rPr>
              <w:t>s</w:t>
            </w:r>
            <w:r w:rsidR="00E813D6" w:rsidRPr="00CD4F28">
              <w:rPr>
                <w:rFonts w:ascii="Arial" w:hAnsi="Arial" w:cs="Arial"/>
                <w:sz w:val="24"/>
                <w:szCs w:val="24"/>
                <w:lang w:val="en-IE"/>
              </w:rPr>
              <w:t>, concerted and joint inspections are subject to the agreement of the Member States concerned, which notify the</w:t>
            </w:r>
            <w:r w:rsidRPr="00CD4F28">
              <w:rPr>
                <w:rFonts w:ascii="Arial" w:hAnsi="Arial" w:cs="Arial"/>
                <w:sz w:val="24"/>
                <w:szCs w:val="24"/>
                <w:lang w:val="en-IE"/>
              </w:rPr>
              <w:t>ir</w:t>
            </w:r>
            <w:r w:rsidR="00E813D6" w:rsidRPr="00CD4F28">
              <w:rPr>
                <w:rFonts w:ascii="Arial" w:hAnsi="Arial" w:cs="Arial"/>
                <w:sz w:val="24"/>
                <w:szCs w:val="24"/>
                <w:lang w:val="en-IE"/>
              </w:rPr>
              <w:t xml:space="preserve"> agreement via their National Liaison Officers. </w:t>
            </w:r>
          </w:p>
          <w:p w14:paraId="4A542E50" w14:textId="77777777" w:rsidR="00E813D6" w:rsidRPr="00CD4F28" w:rsidRDefault="00E813D6" w:rsidP="00A73694">
            <w:pPr>
              <w:tabs>
                <w:tab w:val="left" w:pos="0"/>
              </w:tabs>
              <w:spacing w:line="276" w:lineRule="auto"/>
              <w:ind w:right="283"/>
              <w:jc w:val="both"/>
              <w:rPr>
                <w:rFonts w:ascii="Arial" w:hAnsi="Arial" w:cs="Arial"/>
                <w:sz w:val="24"/>
                <w:szCs w:val="24"/>
                <w:lang w:val="en-IE"/>
              </w:rPr>
            </w:pPr>
          </w:p>
          <w:p w14:paraId="1A819B4A" w14:textId="77777777" w:rsidR="00E813D6" w:rsidRPr="00CD4F28" w:rsidRDefault="00E813D6" w:rsidP="00A73694">
            <w:pPr>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is tasked to establish and adopt the modalities to ensure appropriate follow-up where a Member State decides not to participate in a concerted or joint inspection. </w:t>
            </w:r>
          </w:p>
          <w:p w14:paraId="792F32C2" w14:textId="77777777" w:rsidR="00E813D6" w:rsidRPr="00CD4F28" w:rsidRDefault="00E813D6" w:rsidP="00A73694">
            <w:pPr>
              <w:tabs>
                <w:tab w:val="left" w:pos="0"/>
              </w:tabs>
              <w:spacing w:line="276" w:lineRule="auto"/>
              <w:ind w:right="283"/>
              <w:jc w:val="both"/>
              <w:rPr>
                <w:rFonts w:ascii="Arial" w:hAnsi="Arial" w:cs="Arial"/>
                <w:sz w:val="24"/>
                <w:szCs w:val="24"/>
                <w:lang w:val="en-IE"/>
              </w:rPr>
            </w:pPr>
          </w:p>
          <w:p w14:paraId="22BB2441" w14:textId="193D0A5A" w:rsidR="00E813D6" w:rsidRPr="00CD4F28" w:rsidRDefault="00E813D6" w:rsidP="00A73694">
            <w:pPr>
              <w:tabs>
                <w:tab w:val="left" w:pos="0"/>
              </w:tabs>
              <w:spacing w:line="276" w:lineRule="auto"/>
              <w:ind w:right="283"/>
              <w:jc w:val="both"/>
              <w:rPr>
                <w:rFonts w:ascii="Arial" w:hAnsi="Arial" w:cs="Arial"/>
                <w:sz w:val="24"/>
                <w:szCs w:val="24"/>
                <w:lang w:val="en-IE"/>
              </w:rPr>
            </w:pPr>
            <w:r w:rsidRPr="00CD4F28">
              <w:rPr>
                <w:rFonts w:ascii="Arial" w:hAnsi="Arial" w:cs="Arial"/>
                <w:b/>
                <w:sz w:val="24"/>
                <w:szCs w:val="24"/>
                <w:lang w:val="en-IE"/>
              </w:rPr>
              <w:t>Article 9</w:t>
            </w:r>
            <w:r w:rsidRPr="00CD4F28">
              <w:rPr>
                <w:rFonts w:ascii="Arial" w:hAnsi="Arial" w:cs="Arial"/>
                <w:sz w:val="24"/>
                <w:szCs w:val="24"/>
                <w:lang w:val="en-IE"/>
              </w:rPr>
              <w:t xml:space="preserve"> further specifies the arrangements </w:t>
            </w:r>
            <w:r w:rsidR="007E2C99" w:rsidRPr="00CD4F28">
              <w:rPr>
                <w:rFonts w:ascii="Arial" w:hAnsi="Arial" w:cs="Arial"/>
                <w:sz w:val="24"/>
                <w:szCs w:val="24"/>
                <w:lang w:val="en-IE"/>
              </w:rPr>
              <w:t xml:space="preserve">to be put in place by the Authority for supporting </w:t>
            </w:r>
            <w:r w:rsidRPr="00CD4F28">
              <w:rPr>
                <w:rFonts w:ascii="Arial" w:hAnsi="Arial" w:cs="Arial"/>
                <w:sz w:val="24"/>
                <w:szCs w:val="24"/>
                <w:lang w:val="en-IE"/>
              </w:rPr>
              <w:t>concerted and joint inspections:</w:t>
            </w:r>
          </w:p>
          <w:p w14:paraId="006A9B1F" w14:textId="30F6D1C6"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the Authority </w:t>
            </w:r>
            <w:r w:rsidR="007E2C99" w:rsidRPr="00CD4F28">
              <w:rPr>
                <w:rFonts w:ascii="Arial" w:hAnsi="Arial" w:cs="Arial"/>
                <w:sz w:val="24"/>
                <w:szCs w:val="24"/>
                <w:lang w:val="en-IE"/>
              </w:rPr>
              <w:t xml:space="preserve">will </w:t>
            </w:r>
            <w:r w:rsidRPr="00CD4F28">
              <w:rPr>
                <w:rFonts w:ascii="Arial" w:hAnsi="Arial" w:cs="Arial"/>
                <w:sz w:val="24"/>
                <w:szCs w:val="24"/>
                <w:lang w:val="en-IE"/>
              </w:rPr>
              <w:t xml:space="preserve">establish a model agreement </w:t>
            </w:r>
            <w:r w:rsidR="007E2C99" w:rsidRPr="00CD4F28">
              <w:rPr>
                <w:rFonts w:ascii="Arial" w:hAnsi="Arial" w:cs="Arial"/>
                <w:sz w:val="24"/>
                <w:szCs w:val="24"/>
                <w:lang w:val="en-IE"/>
              </w:rPr>
              <w:t xml:space="preserve">to carry out a concerted or joint inspection, setting </w:t>
            </w:r>
            <w:r w:rsidRPr="00CD4F28">
              <w:rPr>
                <w:rFonts w:ascii="Arial" w:hAnsi="Arial" w:cs="Arial"/>
                <w:sz w:val="24"/>
                <w:szCs w:val="24"/>
                <w:lang w:val="en-IE"/>
              </w:rPr>
              <w:t>out terms and conditions, including</w:t>
            </w:r>
            <w:r w:rsidR="007E2C99" w:rsidRPr="00CD4F28">
              <w:rPr>
                <w:rFonts w:ascii="Arial" w:hAnsi="Arial" w:cs="Arial"/>
                <w:sz w:val="24"/>
                <w:szCs w:val="24"/>
                <w:lang w:val="en-IE"/>
              </w:rPr>
              <w:t xml:space="preserve"> the scope of the inspection and</w:t>
            </w:r>
            <w:r w:rsidRPr="00CD4F28">
              <w:rPr>
                <w:rFonts w:ascii="Arial" w:hAnsi="Arial" w:cs="Arial"/>
                <w:sz w:val="24"/>
                <w:szCs w:val="24"/>
                <w:lang w:val="en-IE"/>
              </w:rPr>
              <w:t>, if relevant, any arrangements regarding the participation of the staff of the Authority;</w:t>
            </w:r>
          </w:p>
          <w:p w14:paraId="71492D54" w14:textId="570A6A70" w:rsidR="00E813D6" w:rsidRPr="00CD4F28" w:rsidRDefault="00E813D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sidDel="007E2C99">
              <w:rPr>
                <w:rFonts w:ascii="Arial" w:hAnsi="Arial" w:cs="Arial"/>
                <w:sz w:val="24"/>
                <w:szCs w:val="24"/>
                <w:lang w:val="en-IE"/>
              </w:rPr>
              <w:t xml:space="preserve">the </w:t>
            </w:r>
            <w:r w:rsidRPr="00CD4F28">
              <w:rPr>
                <w:rFonts w:ascii="Arial" w:hAnsi="Arial" w:cs="Arial"/>
                <w:sz w:val="24"/>
                <w:szCs w:val="24"/>
                <w:lang w:val="en-IE"/>
              </w:rPr>
              <w:t>Authority</w:t>
            </w:r>
            <w:r w:rsidRPr="00CD4F28" w:rsidDel="007E2C99">
              <w:rPr>
                <w:rFonts w:ascii="Arial" w:hAnsi="Arial" w:cs="Arial"/>
                <w:sz w:val="24"/>
                <w:szCs w:val="24"/>
                <w:lang w:val="en-IE"/>
              </w:rPr>
              <w:t xml:space="preserve"> </w:t>
            </w:r>
            <w:r w:rsidR="007E2C99" w:rsidRPr="00CD4F28">
              <w:rPr>
                <w:rFonts w:ascii="Arial" w:hAnsi="Arial" w:cs="Arial"/>
                <w:sz w:val="24"/>
                <w:szCs w:val="24"/>
                <w:lang w:val="en-IE"/>
              </w:rPr>
              <w:t xml:space="preserve">will </w:t>
            </w:r>
            <w:r w:rsidRPr="00CD4F28">
              <w:rPr>
                <w:rFonts w:ascii="Arial" w:hAnsi="Arial" w:cs="Arial"/>
                <w:sz w:val="24"/>
                <w:szCs w:val="24"/>
                <w:lang w:val="en-IE"/>
              </w:rPr>
              <w:t xml:space="preserve">provide </w:t>
            </w:r>
            <w:r w:rsidR="007E2C99" w:rsidRPr="00CD4F28">
              <w:rPr>
                <w:rFonts w:ascii="Arial" w:hAnsi="Arial" w:cs="Arial"/>
                <w:sz w:val="24"/>
                <w:szCs w:val="24"/>
                <w:lang w:val="en-IE"/>
              </w:rPr>
              <w:t xml:space="preserve">support for carrying out the inspection and legal expertise, if requested by Member States. </w:t>
            </w:r>
          </w:p>
        </w:tc>
      </w:tr>
    </w:tbl>
    <w:p w14:paraId="6687F1F9" w14:textId="77777777" w:rsidR="007D3B56" w:rsidRPr="00CD4F28" w:rsidRDefault="007D3B56" w:rsidP="00A73694">
      <w:pPr>
        <w:pStyle w:val="BodyText"/>
        <w:tabs>
          <w:tab w:val="left" w:pos="0"/>
        </w:tabs>
        <w:spacing w:line="276" w:lineRule="auto"/>
        <w:ind w:right="283"/>
        <w:jc w:val="both"/>
        <w:rPr>
          <w:rFonts w:ascii="Arial" w:hAnsi="Arial" w:cs="Arial"/>
          <w:sz w:val="24"/>
          <w:szCs w:val="24"/>
          <w:lang w:val="en-IE"/>
        </w:rPr>
      </w:pPr>
    </w:p>
    <w:p w14:paraId="1313A710" w14:textId="268EBA74" w:rsidR="001E221A" w:rsidRPr="00CD4F28" w:rsidRDefault="001E221A" w:rsidP="00A73694">
      <w:pPr>
        <w:pStyle w:val="BodyText"/>
        <w:tabs>
          <w:tab w:val="left" w:pos="0"/>
        </w:tabs>
        <w:spacing w:line="276" w:lineRule="auto"/>
        <w:ind w:right="283"/>
        <w:jc w:val="both"/>
        <w:rPr>
          <w:rFonts w:ascii="Arial" w:hAnsi="Arial" w:cs="Arial"/>
          <w:sz w:val="24"/>
          <w:szCs w:val="24"/>
          <w:u w:val="single"/>
          <w:lang w:val="en-IE"/>
        </w:rPr>
      </w:pPr>
      <w:r w:rsidRPr="00CD4F28">
        <w:rPr>
          <w:rFonts w:ascii="Arial" w:hAnsi="Arial" w:cs="Arial"/>
          <w:sz w:val="24"/>
          <w:szCs w:val="24"/>
          <w:u w:val="single"/>
          <w:lang w:val="en-IE"/>
        </w:rPr>
        <w:t>Key objective</w:t>
      </w:r>
    </w:p>
    <w:p w14:paraId="73FCD0A6" w14:textId="56841224" w:rsidR="001E221A" w:rsidRPr="00CD4F28" w:rsidRDefault="001E221A"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t>
      </w:r>
      <w:r w:rsidR="00B07177" w:rsidRPr="00CD4F28">
        <w:rPr>
          <w:rFonts w:ascii="Arial" w:hAnsi="Arial" w:cs="Arial"/>
          <w:sz w:val="24"/>
          <w:szCs w:val="24"/>
          <w:lang w:val="en-IE"/>
        </w:rPr>
        <w:t>will</w:t>
      </w:r>
      <w:r w:rsidRPr="00CD4F28">
        <w:rPr>
          <w:rFonts w:ascii="Arial" w:hAnsi="Arial" w:cs="Arial"/>
          <w:sz w:val="24"/>
          <w:szCs w:val="24"/>
          <w:lang w:val="en-IE"/>
        </w:rPr>
        <w:t xml:space="preserve"> set up the necessary arrangements to carry out concerted or joint inspections, with the aim of supporting </w:t>
      </w:r>
      <w:r w:rsidR="007D3B56" w:rsidRPr="00CD4F28">
        <w:rPr>
          <w:rFonts w:ascii="Arial" w:hAnsi="Arial" w:cs="Arial"/>
          <w:sz w:val="24"/>
          <w:szCs w:val="24"/>
          <w:lang w:val="en-IE"/>
        </w:rPr>
        <w:t xml:space="preserve">at least </w:t>
      </w:r>
      <w:r w:rsidRPr="00CD4F28">
        <w:rPr>
          <w:rFonts w:ascii="Arial" w:hAnsi="Arial" w:cs="Arial"/>
          <w:sz w:val="24"/>
          <w:szCs w:val="24"/>
          <w:lang w:val="en-IE"/>
        </w:rPr>
        <w:t>one pilot inspection during the year 2020</w:t>
      </w:r>
      <w:r w:rsidR="007D3B56" w:rsidRPr="00CD4F28">
        <w:rPr>
          <w:rFonts w:ascii="Arial" w:hAnsi="Arial" w:cs="Arial"/>
          <w:sz w:val="24"/>
          <w:szCs w:val="24"/>
          <w:lang w:val="en-IE"/>
        </w:rPr>
        <w:t xml:space="preserve"> to test the adequacy and effectiveness of the procedures and tools developed</w:t>
      </w:r>
      <w:r w:rsidR="00B97E4D" w:rsidRPr="00CD4F28">
        <w:rPr>
          <w:rFonts w:ascii="Arial" w:hAnsi="Arial" w:cs="Arial"/>
          <w:sz w:val="24"/>
          <w:szCs w:val="24"/>
          <w:lang w:val="en-IE"/>
        </w:rPr>
        <w:t xml:space="preserve"> for common initiatives</w:t>
      </w:r>
      <w:r w:rsidRPr="00CD4F28">
        <w:rPr>
          <w:rFonts w:ascii="Arial" w:hAnsi="Arial" w:cs="Arial"/>
          <w:sz w:val="24"/>
          <w:szCs w:val="24"/>
          <w:lang w:val="en-IE"/>
        </w:rPr>
        <w:t>.</w:t>
      </w:r>
      <w:r w:rsidR="00B97E4D" w:rsidRPr="00CD4F28">
        <w:rPr>
          <w:rFonts w:ascii="Arial" w:hAnsi="Arial" w:cs="Arial"/>
          <w:sz w:val="24"/>
          <w:szCs w:val="24"/>
          <w:lang w:val="en-IE"/>
        </w:rPr>
        <w:t xml:space="preserve"> At the</w:t>
      </w:r>
      <w:r w:rsidRPr="00CD4F28">
        <w:rPr>
          <w:rFonts w:ascii="Arial" w:hAnsi="Arial" w:cs="Arial"/>
          <w:sz w:val="24"/>
          <w:szCs w:val="24"/>
          <w:lang w:val="en-IE"/>
        </w:rPr>
        <w:t xml:space="preserve"> </w:t>
      </w:r>
      <w:r w:rsidR="00B97E4D" w:rsidRPr="00CD4F28">
        <w:rPr>
          <w:rFonts w:ascii="Arial" w:hAnsi="Arial" w:cs="Arial"/>
          <w:sz w:val="24"/>
          <w:szCs w:val="24"/>
          <w:lang w:val="en-IE"/>
        </w:rPr>
        <w:t>same time, it will start providing learning and training opportunities for national inspectorates</w:t>
      </w:r>
      <w:r w:rsidRPr="00CD4F28">
        <w:rPr>
          <w:rFonts w:ascii="Arial" w:hAnsi="Arial" w:cs="Arial"/>
          <w:sz w:val="24"/>
          <w:szCs w:val="24"/>
          <w:lang w:val="en-IE"/>
        </w:rPr>
        <w:t xml:space="preserve">. </w:t>
      </w:r>
    </w:p>
    <w:p w14:paraId="6F07434A" w14:textId="1918EFCA" w:rsidR="00B93409" w:rsidRPr="00CD4F28" w:rsidRDefault="00B93409" w:rsidP="00A73694">
      <w:pPr>
        <w:widowControl/>
        <w:tabs>
          <w:tab w:val="left" w:pos="0"/>
        </w:tabs>
        <w:autoSpaceDE/>
        <w:autoSpaceDN/>
        <w:spacing w:after="200" w:line="276" w:lineRule="auto"/>
        <w:ind w:right="283"/>
        <w:contextualSpacing/>
        <w:jc w:val="both"/>
        <w:rPr>
          <w:rFonts w:ascii="Arial" w:hAnsi="Arial" w:cs="Arial"/>
          <w:sz w:val="24"/>
          <w:szCs w:val="24"/>
          <w:lang w:val="en-IE"/>
        </w:rPr>
      </w:pPr>
    </w:p>
    <w:p w14:paraId="6CB3D140" w14:textId="6A76BBFF" w:rsidR="001E221A" w:rsidRPr="00CD4F28" w:rsidRDefault="003B260F" w:rsidP="00A73694">
      <w:pPr>
        <w:widowControl/>
        <w:tabs>
          <w:tab w:val="left" w:pos="0"/>
        </w:tabs>
        <w:autoSpaceDE/>
        <w:autoSpaceDN/>
        <w:spacing w:after="200" w:line="276" w:lineRule="auto"/>
        <w:ind w:right="283"/>
        <w:contextualSpacing/>
        <w:jc w:val="both"/>
        <w:rPr>
          <w:rFonts w:ascii="Arial" w:hAnsi="Arial" w:cs="Arial"/>
          <w:sz w:val="24"/>
          <w:szCs w:val="24"/>
          <w:u w:val="single"/>
          <w:lang w:val="en-IE"/>
        </w:rPr>
      </w:pPr>
      <w:r>
        <w:rPr>
          <w:rFonts w:ascii="Arial" w:hAnsi="Arial" w:cs="Arial"/>
          <w:sz w:val="24"/>
          <w:szCs w:val="24"/>
          <w:u w:val="single"/>
          <w:lang w:val="en-IE"/>
        </w:rPr>
        <w:t>Main actions and outputs</w:t>
      </w:r>
    </w:p>
    <w:p w14:paraId="58BC67B5" w14:textId="0FD08C4A" w:rsidR="001E221A" w:rsidRDefault="00E17233" w:rsidP="00D03DF3">
      <w:pPr>
        <w:pStyle w:val="BodyText"/>
        <w:numPr>
          <w:ilvl w:val="2"/>
          <w:numId w:val="2"/>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Setting up a working group</w:t>
      </w:r>
      <w:r w:rsidR="00CF3608" w:rsidRPr="00CD4F28">
        <w:rPr>
          <w:rFonts w:ascii="Arial" w:hAnsi="Arial" w:cs="Arial"/>
          <w:b/>
          <w:sz w:val="24"/>
          <w:szCs w:val="24"/>
          <w:lang w:val="en-IE"/>
        </w:rPr>
        <w:t xml:space="preserve"> on inspections</w:t>
      </w:r>
    </w:p>
    <w:p w14:paraId="4EA2B831" w14:textId="77777777" w:rsidR="00431AB1" w:rsidRPr="00CD4F28" w:rsidRDefault="00431AB1" w:rsidP="00C1232C">
      <w:pPr>
        <w:pStyle w:val="BodyText"/>
        <w:tabs>
          <w:tab w:val="left" w:pos="0"/>
        </w:tabs>
        <w:spacing w:line="276" w:lineRule="auto"/>
        <w:ind w:left="720" w:right="283"/>
        <w:jc w:val="both"/>
        <w:rPr>
          <w:rFonts w:ascii="Arial" w:hAnsi="Arial" w:cs="Arial"/>
          <w:b/>
          <w:sz w:val="24"/>
          <w:szCs w:val="24"/>
          <w:lang w:val="en-IE"/>
        </w:rPr>
      </w:pPr>
    </w:p>
    <w:p w14:paraId="6A13CF66" w14:textId="7911887B" w:rsidR="00E17233" w:rsidRPr="00CD4F28" w:rsidRDefault="00E17233"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Authority will set up a working</w:t>
      </w:r>
      <w:r w:rsidRPr="00CD4F28" w:rsidDel="00D02C4E">
        <w:rPr>
          <w:rFonts w:ascii="Arial" w:hAnsi="Arial" w:cs="Arial"/>
          <w:sz w:val="24"/>
          <w:szCs w:val="24"/>
          <w:lang w:val="en-IE"/>
        </w:rPr>
        <w:t xml:space="preserve"> </w:t>
      </w:r>
      <w:r w:rsidRPr="00CD4F28">
        <w:rPr>
          <w:rFonts w:ascii="Arial" w:hAnsi="Arial" w:cs="Arial"/>
          <w:sz w:val="24"/>
          <w:szCs w:val="24"/>
          <w:lang w:val="en-IE"/>
        </w:rPr>
        <w:t>group</w:t>
      </w:r>
      <w:r w:rsidR="00CF3608" w:rsidRPr="00CD4F28">
        <w:rPr>
          <w:rFonts w:ascii="Arial" w:hAnsi="Arial" w:cs="Arial"/>
          <w:sz w:val="24"/>
          <w:szCs w:val="24"/>
          <w:lang w:val="en-IE"/>
        </w:rPr>
        <w:t xml:space="preserve"> on inspections</w:t>
      </w:r>
      <w:r w:rsidRPr="00CD4F28">
        <w:rPr>
          <w:rFonts w:ascii="Arial" w:hAnsi="Arial" w:cs="Arial"/>
          <w:sz w:val="24"/>
          <w:szCs w:val="24"/>
          <w:lang w:val="en-IE"/>
        </w:rPr>
        <w:t>, composed of</w:t>
      </w:r>
      <w:r w:rsidR="003F5F00" w:rsidRPr="00CD4F28">
        <w:rPr>
          <w:rFonts w:ascii="Arial" w:hAnsi="Arial" w:cs="Arial"/>
        </w:rPr>
        <w:t xml:space="preserve"> </w:t>
      </w:r>
      <w:r w:rsidR="003F5F00" w:rsidRPr="00CD4F28">
        <w:rPr>
          <w:rFonts w:ascii="Arial" w:hAnsi="Arial" w:cs="Arial"/>
          <w:sz w:val="24"/>
          <w:szCs w:val="24"/>
          <w:lang w:val="en-IE"/>
        </w:rPr>
        <w:t>experts appointed by the Members of the Management Board</w:t>
      </w:r>
      <w:r w:rsidRPr="00CD4F28">
        <w:rPr>
          <w:rFonts w:ascii="Arial" w:hAnsi="Arial" w:cs="Arial"/>
          <w:sz w:val="24"/>
          <w:szCs w:val="24"/>
          <w:lang w:val="en-IE"/>
        </w:rPr>
        <w:t xml:space="preserve">, to </w:t>
      </w:r>
      <w:r w:rsidR="00431AB1" w:rsidRPr="00D02A55">
        <w:rPr>
          <w:rFonts w:ascii="Arial" w:hAnsi="Arial" w:cs="Arial"/>
          <w:sz w:val="24"/>
          <w:szCs w:val="24"/>
        </w:rPr>
        <w:t>provid</w:t>
      </w:r>
      <w:r w:rsidR="00431AB1">
        <w:rPr>
          <w:rFonts w:ascii="Arial" w:hAnsi="Arial" w:cs="Arial"/>
          <w:sz w:val="24"/>
          <w:szCs w:val="24"/>
        </w:rPr>
        <w:t>e</w:t>
      </w:r>
      <w:r w:rsidR="00431AB1" w:rsidRPr="00D02A55">
        <w:rPr>
          <w:rFonts w:ascii="Arial" w:hAnsi="Arial" w:cs="Arial"/>
          <w:sz w:val="24"/>
          <w:szCs w:val="24"/>
        </w:rPr>
        <w:t xml:space="preserve"> opinions </w:t>
      </w:r>
      <w:r w:rsidR="00431AB1">
        <w:rPr>
          <w:rFonts w:ascii="Arial" w:hAnsi="Arial" w:cs="Arial"/>
          <w:sz w:val="24"/>
          <w:szCs w:val="24"/>
        </w:rPr>
        <w:t>and</w:t>
      </w:r>
      <w:r w:rsidR="00431AB1" w:rsidRPr="00D02A55">
        <w:rPr>
          <w:rFonts w:ascii="Arial" w:hAnsi="Arial" w:cs="Arial"/>
          <w:sz w:val="24"/>
          <w:szCs w:val="24"/>
        </w:rPr>
        <w:t xml:space="preserve"> develop tools and procedures for the activities of the Authority related to inspections. In particular, experts of the </w:t>
      </w:r>
      <w:r w:rsidR="00431AB1">
        <w:rPr>
          <w:rFonts w:ascii="Arial" w:hAnsi="Arial" w:cs="Arial"/>
          <w:sz w:val="24"/>
          <w:szCs w:val="24"/>
        </w:rPr>
        <w:t>w</w:t>
      </w:r>
      <w:r w:rsidR="00431AB1" w:rsidRPr="00D02A55">
        <w:rPr>
          <w:rFonts w:ascii="Arial" w:hAnsi="Arial" w:cs="Arial"/>
          <w:sz w:val="24"/>
          <w:szCs w:val="24"/>
        </w:rPr>
        <w:t xml:space="preserve">orking </w:t>
      </w:r>
      <w:r w:rsidR="00431AB1">
        <w:rPr>
          <w:rFonts w:ascii="Arial" w:hAnsi="Arial" w:cs="Arial"/>
          <w:sz w:val="24"/>
          <w:szCs w:val="24"/>
        </w:rPr>
        <w:t>g</w:t>
      </w:r>
      <w:r w:rsidR="00431AB1" w:rsidRPr="00D02A55">
        <w:rPr>
          <w:rFonts w:ascii="Arial" w:hAnsi="Arial" w:cs="Arial"/>
          <w:sz w:val="24"/>
          <w:szCs w:val="24"/>
        </w:rPr>
        <w:t xml:space="preserve">roup should provide expertise on matters related to the legal and practical aspects of organising and conducting concerted and joint </w:t>
      </w:r>
      <w:r w:rsidR="00431AB1">
        <w:rPr>
          <w:rFonts w:ascii="Arial" w:hAnsi="Arial" w:cs="Arial"/>
          <w:sz w:val="24"/>
          <w:szCs w:val="24"/>
        </w:rPr>
        <w:t>inspections</w:t>
      </w:r>
      <w:r w:rsidRPr="00CD4F28">
        <w:rPr>
          <w:rFonts w:ascii="Arial" w:hAnsi="Arial" w:cs="Arial"/>
          <w:sz w:val="24"/>
          <w:szCs w:val="24"/>
          <w:lang w:val="en-IE"/>
        </w:rPr>
        <w:t>, discuss the results</w:t>
      </w:r>
      <w:r w:rsidR="005F4846">
        <w:rPr>
          <w:rFonts w:ascii="Arial" w:hAnsi="Arial" w:cs="Arial"/>
          <w:sz w:val="24"/>
          <w:szCs w:val="24"/>
          <w:lang w:val="en-IE"/>
        </w:rPr>
        <w:t xml:space="preserve"> of pilot in</w:t>
      </w:r>
      <w:r w:rsidR="00C1232C">
        <w:rPr>
          <w:rFonts w:ascii="Arial" w:hAnsi="Arial" w:cs="Arial"/>
          <w:sz w:val="24"/>
          <w:szCs w:val="24"/>
          <w:lang w:val="en-IE"/>
        </w:rPr>
        <w:t>s</w:t>
      </w:r>
      <w:r w:rsidR="005F4846">
        <w:rPr>
          <w:rFonts w:ascii="Arial" w:hAnsi="Arial" w:cs="Arial"/>
          <w:sz w:val="24"/>
          <w:szCs w:val="24"/>
          <w:lang w:val="en-IE"/>
        </w:rPr>
        <w:t>pections</w:t>
      </w:r>
      <w:r w:rsidRPr="00CD4F28">
        <w:rPr>
          <w:rFonts w:ascii="Arial" w:hAnsi="Arial" w:cs="Arial"/>
          <w:sz w:val="24"/>
          <w:szCs w:val="24"/>
          <w:lang w:val="en-IE"/>
        </w:rPr>
        <w:t xml:space="preserve"> and identify further needs.</w:t>
      </w:r>
      <w:r w:rsidR="00FD5BBE" w:rsidRPr="00CD4F28">
        <w:rPr>
          <w:rFonts w:ascii="Arial" w:hAnsi="Arial" w:cs="Arial"/>
          <w:sz w:val="24"/>
          <w:szCs w:val="24"/>
          <w:lang w:val="en-IE"/>
        </w:rPr>
        <w:t xml:space="preserve"> The working group will also discuss coordination and cooperation arrangements with other relevant agencies or bodies</w:t>
      </w:r>
      <w:r w:rsidR="00B92DB6">
        <w:rPr>
          <w:rFonts w:ascii="Arial" w:hAnsi="Arial" w:cs="Arial"/>
          <w:sz w:val="24"/>
          <w:szCs w:val="24"/>
          <w:lang w:val="en-IE"/>
        </w:rPr>
        <w:t>. The</w:t>
      </w:r>
      <w:r w:rsidR="00B866B2">
        <w:rPr>
          <w:rFonts w:ascii="Arial" w:hAnsi="Arial" w:cs="Arial"/>
          <w:sz w:val="24"/>
          <w:szCs w:val="24"/>
          <w:lang w:val="en-IE"/>
        </w:rPr>
        <w:t xml:space="preserve"> </w:t>
      </w:r>
      <w:r w:rsidR="004B0155">
        <w:rPr>
          <w:rFonts w:ascii="Arial" w:hAnsi="Arial" w:cs="Arial"/>
          <w:sz w:val="24"/>
          <w:szCs w:val="24"/>
          <w:lang w:val="en-IE"/>
        </w:rPr>
        <w:t xml:space="preserve">working group </w:t>
      </w:r>
      <w:r w:rsidR="00B866B2">
        <w:rPr>
          <w:rFonts w:ascii="Arial" w:hAnsi="Arial" w:cs="Arial"/>
          <w:sz w:val="24"/>
          <w:szCs w:val="24"/>
          <w:lang w:val="en-IE"/>
        </w:rPr>
        <w:t>will report to the Management Board</w:t>
      </w:r>
      <w:r w:rsidR="00CC23BB">
        <w:rPr>
          <w:rFonts w:ascii="Arial" w:hAnsi="Arial" w:cs="Arial"/>
          <w:sz w:val="24"/>
          <w:szCs w:val="24"/>
          <w:lang w:val="en-IE"/>
        </w:rPr>
        <w:t xml:space="preserve"> </w:t>
      </w:r>
      <w:r w:rsidR="00B866B2">
        <w:rPr>
          <w:rFonts w:ascii="Arial" w:hAnsi="Arial" w:cs="Arial"/>
          <w:sz w:val="24"/>
          <w:szCs w:val="24"/>
          <w:lang w:val="en-IE"/>
        </w:rPr>
        <w:t>on the results of</w:t>
      </w:r>
      <w:r w:rsidR="00AD48BB">
        <w:rPr>
          <w:rFonts w:ascii="Arial" w:hAnsi="Arial" w:cs="Arial"/>
          <w:sz w:val="24"/>
          <w:szCs w:val="24"/>
          <w:lang w:val="en-IE"/>
        </w:rPr>
        <w:t xml:space="preserve"> its activities</w:t>
      </w:r>
      <w:r w:rsidR="00B866B2">
        <w:rPr>
          <w:rFonts w:ascii="Arial" w:hAnsi="Arial" w:cs="Arial"/>
          <w:sz w:val="24"/>
          <w:szCs w:val="24"/>
          <w:lang w:val="en-IE"/>
        </w:rPr>
        <w:t>.</w:t>
      </w:r>
    </w:p>
    <w:p w14:paraId="1A9D8412" w14:textId="77777777" w:rsidR="00E17233" w:rsidRPr="00CD4F28" w:rsidRDefault="00E17233" w:rsidP="00A73694">
      <w:pPr>
        <w:pStyle w:val="BodyText"/>
        <w:tabs>
          <w:tab w:val="left" w:pos="0"/>
        </w:tabs>
        <w:spacing w:line="276" w:lineRule="auto"/>
        <w:ind w:right="283"/>
        <w:jc w:val="both"/>
        <w:rPr>
          <w:rFonts w:ascii="Arial" w:hAnsi="Arial" w:cs="Arial"/>
          <w:sz w:val="24"/>
          <w:szCs w:val="24"/>
          <w:lang w:val="en-IE"/>
        </w:rPr>
      </w:pPr>
    </w:p>
    <w:p w14:paraId="2FA1A00F" w14:textId="34D110FC" w:rsidR="00E17233" w:rsidRPr="00CD4F28" w:rsidRDefault="000C69A5" w:rsidP="00D03DF3">
      <w:pPr>
        <w:pStyle w:val="BodyText"/>
        <w:numPr>
          <w:ilvl w:val="2"/>
          <w:numId w:val="2"/>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Elaboration of</w:t>
      </w:r>
      <w:r w:rsidR="00794A6E" w:rsidRPr="00CD4F28">
        <w:rPr>
          <w:rFonts w:ascii="Arial" w:hAnsi="Arial" w:cs="Arial"/>
          <w:b/>
          <w:sz w:val="24"/>
          <w:szCs w:val="24"/>
          <w:lang w:val="en-IE"/>
        </w:rPr>
        <w:t xml:space="preserve"> arrangements and tools</w:t>
      </w:r>
      <w:r w:rsidRPr="00CD4F28">
        <w:rPr>
          <w:rFonts w:ascii="Arial" w:hAnsi="Arial" w:cs="Arial"/>
          <w:b/>
          <w:sz w:val="24"/>
          <w:szCs w:val="24"/>
          <w:lang w:val="en-IE"/>
        </w:rPr>
        <w:t xml:space="preserve"> for supporting concerted or joint </w:t>
      </w:r>
      <w:r w:rsidRPr="00CD4F28">
        <w:rPr>
          <w:rFonts w:ascii="Arial" w:hAnsi="Arial" w:cs="Arial"/>
          <w:b/>
          <w:sz w:val="24"/>
          <w:szCs w:val="24"/>
          <w:lang w:val="en-IE"/>
        </w:rPr>
        <w:lastRenderedPageBreak/>
        <w:t>inspections</w:t>
      </w:r>
    </w:p>
    <w:p w14:paraId="0E279F1B" w14:textId="77777777" w:rsidR="00794A6E" w:rsidRPr="00CD4F28" w:rsidRDefault="00794A6E" w:rsidP="00A73694">
      <w:pPr>
        <w:pStyle w:val="BodyText"/>
        <w:tabs>
          <w:tab w:val="left" w:pos="0"/>
        </w:tabs>
        <w:spacing w:line="276" w:lineRule="auto"/>
        <w:ind w:right="283"/>
        <w:jc w:val="both"/>
        <w:rPr>
          <w:rFonts w:ascii="Arial" w:hAnsi="Arial" w:cs="Arial"/>
          <w:sz w:val="24"/>
          <w:szCs w:val="24"/>
          <w:lang w:val="en-IE"/>
        </w:rPr>
      </w:pPr>
    </w:p>
    <w:p w14:paraId="42866BCD" w14:textId="72349A00" w:rsidR="00527F17" w:rsidRPr="00CD4F28" w:rsidRDefault="000C69A5"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In the framework of the </w:t>
      </w:r>
      <w:r w:rsidR="00794A6E" w:rsidRPr="00CD4F28">
        <w:rPr>
          <w:rFonts w:ascii="Arial" w:hAnsi="Arial" w:cs="Arial"/>
          <w:sz w:val="24"/>
          <w:szCs w:val="24"/>
          <w:lang w:val="en-IE"/>
        </w:rPr>
        <w:t>working group referred above,</w:t>
      </w:r>
      <w:r w:rsidR="00FD5BBE" w:rsidRPr="00CD4F28">
        <w:rPr>
          <w:rFonts w:ascii="Arial" w:hAnsi="Arial" w:cs="Arial"/>
          <w:sz w:val="24"/>
          <w:szCs w:val="24"/>
          <w:lang w:val="en-IE"/>
        </w:rPr>
        <w:t xml:space="preserve"> and building on the work carried out </w:t>
      </w:r>
      <w:r w:rsidR="005F4846">
        <w:rPr>
          <w:rFonts w:ascii="Arial" w:hAnsi="Arial" w:cs="Arial"/>
          <w:sz w:val="24"/>
          <w:szCs w:val="24"/>
          <w:lang w:val="en-IE"/>
        </w:rPr>
        <w:t xml:space="preserve">mainly </w:t>
      </w:r>
      <w:r w:rsidR="00FD5BBE" w:rsidRPr="00CD4F28">
        <w:rPr>
          <w:rFonts w:ascii="Arial" w:hAnsi="Arial" w:cs="Arial"/>
          <w:sz w:val="24"/>
          <w:szCs w:val="24"/>
          <w:lang w:val="en-IE"/>
        </w:rPr>
        <w:t xml:space="preserve">by the European Platform tackling </w:t>
      </w:r>
      <w:r w:rsidR="005F4846">
        <w:rPr>
          <w:rFonts w:ascii="Arial" w:hAnsi="Arial" w:cs="Arial"/>
          <w:sz w:val="24"/>
          <w:szCs w:val="24"/>
          <w:lang w:val="en-IE"/>
        </w:rPr>
        <w:t>u</w:t>
      </w:r>
      <w:r w:rsidR="005F4846" w:rsidRPr="00CD4F28">
        <w:rPr>
          <w:rFonts w:ascii="Arial" w:hAnsi="Arial" w:cs="Arial"/>
          <w:sz w:val="24"/>
          <w:szCs w:val="24"/>
          <w:lang w:val="en-IE"/>
        </w:rPr>
        <w:t xml:space="preserve">ndeclared </w:t>
      </w:r>
      <w:r w:rsidR="005F4846">
        <w:rPr>
          <w:rFonts w:ascii="Arial" w:hAnsi="Arial" w:cs="Arial"/>
          <w:sz w:val="24"/>
          <w:szCs w:val="24"/>
          <w:lang w:val="en-IE"/>
        </w:rPr>
        <w:t>w</w:t>
      </w:r>
      <w:r w:rsidR="005F4846" w:rsidRPr="00CD4F28">
        <w:rPr>
          <w:rFonts w:ascii="Arial" w:hAnsi="Arial" w:cs="Arial"/>
          <w:sz w:val="24"/>
          <w:szCs w:val="24"/>
          <w:lang w:val="en-IE"/>
        </w:rPr>
        <w:t>ork</w:t>
      </w:r>
      <w:r w:rsidR="00FD5BBE" w:rsidRPr="00CD4F28">
        <w:rPr>
          <w:rFonts w:ascii="Arial" w:hAnsi="Arial" w:cs="Arial"/>
          <w:sz w:val="24"/>
          <w:szCs w:val="24"/>
          <w:lang w:val="en-IE"/>
        </w:rPr>
        <w:t>,</w:t>
      </w:r>
      <w:r w:rsidR="00794A6E" w:rsidRPr="00CD4F28">
        <w:rPr>
          <w:rFonts w:ascii="Arial" w:hAnsi="Arial" w:cs="Arial"/>
          <w:sz w:val="24"/>
          <w:szCs w:val="24"/>
          <w:lang w:val="en-IE"/>
        </w:rPr>
        <w:t xml:space="preserve"> the Authority will </w:t>
      </w:r>
      <w:r w:rsidR="003F5F00" w:rsidRPr="00CD4F28">
        <w:rPr>
          <w:rFonts w:ascii="Arial" w:hAnsi="Arial" w:cs="Arial"/>
          <w:sz w:val="24"/>
          <w:szCs w:val="24"/>
          <w:lang w:val="en-IE"/>
        </w:rPr>
        <w:t xml:space="preserve">start </w:t>
      </w:r>
      <w:r w:rsidR="00794A6E" w:rsidRPr="00CD4F28">
        <w:rPr>
          <w:rFonts w:ascii="Arial" w:hAnsi="Arial" w:cs="Arial"/>
          <w:sz w:val="24"/>
          <w:szCs w:val="24"/>
          <w:lang w:val="en-IE"/>
        </w:rPr>
        <w:t>develop</w:t>
      </w:r>
      <w:r w:rsidR="003F5F00" w:rsidRPr="00CD4F28">
        <w:rPr>
          <w:rFonts w:ascii="Arial" w:hAnsi="Arial" w:cs="Arial"/>
          <w:sz w:val="24"/>
          <w:szCs w:val="24"/>
          <w:lang w:val="en-IE"/>
        </w:rPr>
        <w:t>ing</w:t>
      </w:r>
      <w:r w:rsidR="00794A6E" w:rsidRPr="00CD4F28">
        <w:rPr>
          <w:rFonts w:ascii="Arial" w:hAnsi="Arial" w:cs="Arial"/>
          <w:sz w:val="24"/>
          <w:szCs w:val="24"/>
          <w:lang w:val="en-IE"/>
        </w:rPr>
        <w:t xml:space="preserve"> </w:t>
      </w:r>
      <w:r w:rsidR="00FD5BBE" w:rsidRPr="00CD4F28">
        <w:rPr>
          <w:rFonts w:ascii="Arial" w:hAnsi="Arial" w:cs="Arial"/>
          <w:sz w:val="24"/>
          <w:szCs w:val="24"/>
          <w:lang w:val="en-IE"/>
        </w:rPr>
        <w:t xml:space="preserve">– </w:t>
      </w:r>
      <w:r w:rsidR="003F5F00" w:rsidRPr="00CD4F28">
        <w:rPr>
          <w:rFonts w:ascii="Arial" w:hAnsi="Arial" w:cs="Arial"/>
          <w:sz w:val="24"/>
          <w:szCs w:val="24"/>
          <w:lang w:val="en-IE"/>
        </w:rPr>
        <w:t>with the</w:t>
      </w:r>
      <w:r w:rsidR="00FD5BBE" w:rsidRPr="00CD4F28">
        <w:rPr>
          <w:rFonts w:ascii="Arial" w:hAnsi="Arial" w:cs="Arial"/>
          <w:sz w:val="24"/>
          <w:szCs w:val="24"/>
          <w:lang w:val="en-IE"/>
        </w:rPr>
        <w:t xml:space="preserve"> help of a consultant - </w:t>
      </w:r>
      <w:r w:rsidR="00794A6E" w:rsidRPr="00CD4F28">
        <w:rPr>
          <w:rFonts w:ascii="Arial" w:hAnsi="Arial" w:cs="Arial"/>
          <w:sz w:val="24"/>
          <w:szCs w:val="24"/>
          <w:lang w:val="en-IE"/>
        </w:rPr>
        <w:t>the necessary arrangements to carry</w:t>
      </w:r>
      <w:r w:rsidR="004B0155">
        <w:rPr>
          <w:rFonts w:ascii="Arial" w:hAnsi="Arial" w:cs="Arial"/>
          <w:sz w:val="24"/>
          <w:szCs w:val="24"/>
          <w:lang w:val="en-IE"/>
        </w:rPr>
        <w:t xml:space="preserve"> out</w:t>
      </w:r>
      <w:r w:rsidR="00794A6E" w:rsidRPr="00CD4F28">
        <w:rPr>
          <w:rFonts w:ascii="Arial" w:hAnsi="Arial" w:cs="Arial"/>
          <w:sz w:val="24"/>
          <w:szCs w:val="24"/>
          <w:lang w:val="en-IE"/>
        </w:rPr>
        <w:t xml:space="preserve"> concerted or joint inspection</w:t>
      </w:r>
      <w:r w:rsidR="005F4846">
        <w:rPr>
          <w:rFonts w:ascii="Arial" w:hAnsi="Arial" w:cs="Arial"/>
          <w:sz w:val="24"/>
          <w:szCs w:val="24"/>
          <w:lang w:val="en-IE"/>
        </w:rPr>
        <w:t>s</w:t>
      </w:r>
      <w:r w:rsidR="00794A6E" w:rsidRPr="00CD4F28">
        <w:rPr>
          <w:rFonts w:ascii="Arial" w:hAnsi="Arial" w:cs="Arial"/>
          <w:sz w:val="24"/>
          <w:szCs w:val="24"/>
          <w:lang w:val="en-IE"/>
        </w:rPr>
        <w:t xml:space="preserve">, including a </w:t>
      </w:r>
      <w:r w:rsidR="00794A6E" w:rsidRPr="00CD4F28">
        <w:rPr>
          <w:rFonts w:ascii="Arial" w:hAnsi="Arial" w:cs="Arial"/>
          <w:i/>
          <w:sz w:val="24"/>
          <w:szCs w:val="24"/>
          <w:lang w:val="en-IE"/>
        </w:rPr>
        <w:t>model agreement</w:t>
      </w:r>
      <w:r w:rsidR="00794A6E" w:rsidRPr="00CD4F28">
        <w:rPr>
          <w:rFonts w:ascii="Arial" w:hAnsi="Arial" w:cs="Arial"/>
          <w:sz w:val="24"/>
          <w:szCs w:val="24"/>
          <w:lang w:val="en-IE"/>
        </w:rPr>
        <w:t xml:space="preserve"> in line with </w:t>
      </w:r>
      <w:r w:rsidR="00FD5BBE" w:rsidRPr="00CD4F28">
        <w:rPr>
          <w:rFonts w:ascii="Arial" w:hAnsi="Arial" w:cs="Arial"/>
          <w:sz w:val="24"/>
          <w:szCs w:val="24"/>
          <w:lang w:val="en-IE"/>
        </w:rPr>
        <w:t xml:space="preserve">the requirements set out in </w:t>
      </w:r>
      <w:r w:rsidR="00794A6E" w:rsidRPr="00CD4F28">
        <w:rPr>
          <w:rFonts w:ascii="Arial" w:hAnsi="Arial" w:cs="Arial"/>
          <w:sz w:val="24"/>
          <w:szCs w:val="24"/>
          <w:lang w:val="en-IE"/>
        </w:rPr>
        <w:t>Article</w:t>
      </w:r>
      <w:r w:rsidR="00FD5BBE" w:rsidRPr="00CD4F28">
        <w:rPr>
          <w:rFonts w:ascii="Arial" w:hAnsi="Arial" w:cs="Arial"/>
          <w:sz w:val="24"/>
          <w:szCs w:val="24"/>
          <w:lang w:val="en-IE"/>
        </w:rPr>
        <w:t xml:space="preserve"> 9 of the Regulation</w:t>
      </w:r>
      <w:r w:rsidR="0099725A" w:rsidRPr="0099725A">
        <w:rPr>
          <w:rFonts w:ascii="Arial" w:hAnsi="Arial" w:cs="Arial"/>
          <w:sz w:val="24"/>
          <w:szCs w:val="24"/>
          <w:lang w:val="en-IE"/>
        </w:rPr>
        <w:t xml:space="preserve"> </w:t>
      </w:r>
      <w:r w:rsidR="0099725A" w:rsidRPr="00CD4F28">
        <w:rPr>
          <w:rFonts w:ascii="Arial" w:hAnsi="Arial" w:cs="Arial"/>
          <w:sz w:val="24"/>
          <w:szCs w:val="24"/>
          <w:lang w:val="en-IE"/>
        </w:rPr>
        <w:t>including aspects such as the role and status of officials from another Member State, the possible role of the Authority staff during an inspection</w:t>
      </w:r>
      <w:r w:rsidR="00B92DB6" w:rsidRPr="00B92DB6">
        <w:rPr>
          <w:rFonts w:ascii="Arial" w:hAnsi="Arial" w:cs="Arial"/>
          <w:sz w:val="24"/>
          <w:szCs w:val="24"/>
          <w:lang w:val="en-IE"/>
        </w:rPr>
        <w:t xml:space="preserve"> </w:t>
      </w:r>
      <w:r w:rsidR="00B92DB6" w:rsidRPr="00CD4F28">
        <w:rPr>
          <w:rFonts w:ascii="Arial" w:hAnsi="Arial" w:cs="Arial"/>
          <w:sz w:val="24"/>
          <w:szCs w:val="24"/>
          <w:lang w:val="en-IE"/>
        </w:rPr>
        <w:t>and the usability of obtained evidence across Member States</w:t>
      </w:r>
      <w:r w:rsidR="00FD5BBE" w:rsidRPr="00CD4F28">
        <w:rPr>
          <w:rFonts w:ascii="Arial" w:hAnsi="Arial" w:cs="Arial"/>
          <w:sz w:val="24"/>
          <w:szCs w:val="24"/>
          <w:lang w:val="en-IE"/>
        </w:rPr>
        <w:t xml:space="preserve">; </w:t>
      </w:r>
      <w:r w:rsidR="0099725A">
        <w:rPr>
          <w:rFonts w:ascii="Arial" w:hAnsi="Arial" w:cs="Arial"/>
          <w:i/>
          <w:sz w:val="24"/>
          <w:szCs w:val="24"/>
          <w:lang w:val="en-IE"/>
        </w:rPr>
        <w:t>workflow</w:t>
      </w:r>
      <w:r w:rsidR="00B92DB6">
        <w:rPr>
          <w:rFonts w:ascii="Arial" w:hAnsi="Arial" w:cs="Arial"/>
          <w:i/>
          <w:sz w:val="24"/>
          <w:szCs w:val="24"/>
          <w:lang w:val="en-IE"/>
        </w:rPr>
        <w:t xml:space="preserve"> guidance</w:t>
      </w:r>
      <w:r w:rsidR="00FD5BBE" w:rsidRPr="00CD4F28">
        <w:rPr>
          <w:rFonts w:ascii="Arial" w:hAnsi="Arial" w:cs="Arial"/>
          <w:sz w:val="24"/>
          <w:szCs w:val="24"/>
          <w:lang w:val="en-IE"/>
        </w:rPr>
        <w:t xml:space="preserve"> specifying the necessary legal and practical characteristics pertaining to conducting the inspection, </w:t>
      </w:r>
      <w:r w:rsidR="00B92DB6">
        <w:rPr>
          <w:rFonts w:ascii="Arial" w:hAnsi="Arial" w:cs="Arial"/>
          <w:sz w:val="24"/>
          <w:szCs w:val="24"/>
          <w:lang w:val="en-IE"/>
        </w:rPr>
        <w:t xml:space="preserve">including </w:t>
      </w:r>
      <w:r w:rsidR="00FD5BBE" w:rsidRPr="00CD4F28">
        <w:rPr>
          <w:rFonts w:ascii="Arial" w:hAnsi="Arial" w:cs="Arial"/>
          <w:sz w:val="24"/>
          <w:szCs w:val="24"/>
          <w:lang w:val="en-IE"/>
        </w:rPr>
        <w:t>procedures</w:t>
      </w:r>
      <w:r w:rsidR="00B92DB6">
        <w:rPr>
          <w:rFonts w:ascii="Arial" w:hAnsi="Arial" w:cs="Arial"/>
          <w:sz w:val="24"/>
          <w:szCs w:val="24"/>
          <w:lang w:val="en-IE"/>
        </w:rPr>
        <w:t xml:space="preserve"> </w:t>
      </w:r>
      <w:r w:rsidR="00FD5BBE" w:rsidRPr="00CD4F28">
        <w:rPr>
          <w:rFonts w:ascii="Arial" w:hAnsi="Arial" w:cs="Arial"/>
          <w:sz w:val="24"/>
          <w:szCs w:val="24"/>
          <w:lang w:val="en-IE"/>
        </w:rPr>
        <w:t xml:space="preserve">to present a case to the Authority; a </w:t>
      </w:r>
      <w:r w:rsidR="00FD5BBE" w:rsidRPr="00CD4F28">
        <w:rPr>
          <w:rFonts w:ascii="Arial" w:hAnsi="Arial" w:cs="Arial"/>
          <w:i/>
          <w:sz w:val="24"/>
          <w:szCs w:val="24"/>
          <w:lang w:val="en-IE"/>
        </w:rPr>
        <w:t>handbook</w:t>
      </w:r>
      <w:r w:rsidR="00FD5BBE" w:rsidRPr="00CD4F28">
        <w:rPr>
          <w:rFonts w:ascii="Arial" w:hAnsi="Arial" w:cs="Arial"/>
          <w:sz w:val="24"/>
          <w:szCs w:val="24"/>
          <w:lang w:val="en-IE"/>
        </w:rPr>
        <w:t xml:space="preserve"> providing an overview on the relevant legislation for inspections across the Member States; </w:t>
      </w:r>
      <w:r w:rsidR="00FD5BBE" w:rsidRPr="00CD4F28">
        <w:rPr>
          <w:rFonts w:ascii="Arial" w:hAnsi="Arial" w:cs="Arial"/>
          <w:i/>
          <w:sz w:val="24"/>
          <w:szCs w:val="24"/>
          <w:lang w:val="en-IE"/>
        </w:rPr>
        <w:t>templates to report about the results of and follow-up</w:t>
      </w:r>
      <w:r w:rsidR="00FD5BBE" w:rsidRPr="00CD4F28">
        <w:rPr>
          <w:rFonts w:ascii="Arial" w:hAnsi="Arial" w:cs="Arial"/>
          <w:sz w:val="24"/>
          <w:szCs w:val="24"/>
          <w:lang w:val="en-IE"/>
        </w:rPr>
        <w:t xml:space="preserve"> to an inspection</w:t>
      </w:r>
      <w:r w:rsidR="008B561B" w:rsidRPr="00CD4F28">
        <w:rPr>
          <w:rFonts w:ascii="Arial" w:hAnsi="Arial" w:cs="Arial"/>
          <w:sz w:val="24"/>
          <w:szCs w:val="24"/>
          <w:lang w:val="en-IE"/>
        </w:rPr>
        <w:t xml:space="preserve">; and a </w:t>
      </w:r>
      <w:r w:rsidR="008B561B" w:rsidRPr="00CD4F28">
        <w:rPr>
          <w:rFonts w:ascii="Arial" w:hAnsi="Arial" w:cs="Arial"/>
          <w:i/>
          <w:sz w:val="24"/>
          <w:szCs w:val="24"/>
          <w:lang w:val="en-IE"/>
        </w:rPr>
        <w:t>set of appropriate indicators</w:t>
      </w:r>
      <w:r w:rsidR="008B561B" w:rsidRPr="00CD4F28">
        <w:rPr>
          <w:rFonts w:ascii="Arial" w:hAnsi="Arial" w:cs="Arial"/>
          <w:b/>
          <w:sz w:val="24"/>
          <w:szCs w:val="24"/>
          <w:lang w:val="en-IE"/>
        </w:rPr>
        <w:t xml:space="preserve"> </w:t>
      </w:r>
      <w:r w:rsidR="008B561B" w:rsidRPr="00CD4F28">
        <w:rPr>
          <w:rFonts w:ascii="Arial" w:hAnsi="Arial" w:cs="Arial"/>
          <w:sz w:val="24"/>
          <w:szCs w:val="24"/>
          <w:lang w:val="en-IE"/>
        </w:rPr>
        <w:t xml:space="preserve">to measure inputs, process, outputs and performance. </w:t>
      </w:r>
      <w:r w:rsidR="00FD5BBE" w:rsidRPr="00CD4F28">
        <w:rPr>
          <w:rFonts w:ascii="Arial" w:hAnsi="Arial" w:cs="Arial"/>
          <w:sz w:val="24"/>
          <w:szCs w:val="24"/>
          <w:lang w:val="en-IE"/>
        </w:rPr>
        <w:t xml:space="preserve"> </w:t>
      </w:r>
    </w:p>
    <w:p w14:paraId="3513100D" w14:textId="5210AC37" w:rsidR="001E221A" w:rsidRPr="00CD4F28" w:rsidRDefault="001E221A" w:rsidP="00A73694">
      <w:pPr>
        <w:pStyle w:val="BodyText"/>
        <w:tabs>
          <w:tab w:val="left" w:pos="0"/>
        </w:tabs>
        <w:spacing w:line="276" w:lineRule="auto"/>
        <w:ind w:right="283"/>
        <w:jc w:val="both"/>
        <w:rPr>
          <w:rFonts w:ascii="Arial" w:hAnsi="Arial" w:cs="Arial"/>
          <w:sz w:val="24"/>
          <w:szCs w:val="24"/>
          <w:lang w:val="en-IE"/>
        </w:rPr>
      </w:pPr>
    </w:p>
    <w:p w14:paraId="64ABA7F9" w14:textId="5E9592AC" w:rsidR="001E221A" w:rsidRPr="00CD4F28" w:rsidRDefault="00FD5BBE" w:rsidP="00D03DF3">
      <w:pPr>
        <w:pStyle w:val="BodyText"/>
        <w:numPr>
          <w:ilvl w:val="2"/>
          <w:numId w:val="2"/>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 xml:space="preserve">Supporting a </w:t>
      </w:r>
      <w:r w:rsidR="00D603F9">
        <w:rPr>
          <w:rFonts w:ascii="Arial" w:hAnsi="Arial" w:cs="Arial"/>
          <w:b/>
          <w:sz w:val="24"/>
          <w:szCs w:val="24"/>
          <w:lang w:val="en-IE"/>
        </w:rPr>
        <w:t xml:space="preserve">number of </w:t>
      </w:r>
      <w:r w:rsidRPr="00CD4F28">
        <w:rPr>
          <w:rFonts w:ascii="Arial" w:hAnsi="Arial" w:cs="Arial"/>
          <w:b/>
          <w:sz w:val="24"/>
          <w:szCs w:val="24"/>
          <w:lang w:val="en-IE"/>
        </w:rPr>
        <w:t>pilot concerted or joint inspection</w:t>
      </w:r>
    </w:p>
    <w:p w14:paraId="72A49947" w14:textId="5CB84282" w:rsidR="00CF5457" w:rsidRPr="00CD4F28" w:rsidRDefault="00CF5457" w:rsidP="00A73694">
      <w:pPr>
        <w:pStyle w:val="BodyText"/>
        <w:tabs>
          <w:tab w:val="left" w:pos="0"/>
        </w:tabs>
        <w:spacing w:line="276" w:lineRule="auto"/>
        <w:ind w:right="283"/>
        <w:jc w:val="both"/>
        <w:rPr>
          <w:rFonts w:ascii="Arial" w:hAnsi="Arial" w:cs="Arial"/>
          <w:sz w:val="24"/>
          <w:szCs w:val="24"/>
          <w:lang w:val="en-IE"/>
        </w:rPr>
      </w:pPr>
    </w:p>
    <w:p w14:paraId="274D0DDA" w14:textId="5AAF7896" w:rsidR="00BB4271" w:rsidRPr="00CD4F28" w:rsidRDefault="00FD5BBE" w:rsidP="00A73694">
      <w:pPr>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test the </w:t>
      </w:r>
      <w:r w:rsidR="000A6524" w:rsidRPr="00CD4F28">
        <w:rPr>
          <w:rFonts w:ascii="Arial" w:hAnsi="Arial" w:cs="Arial"/>
          <w:sz w:val="24"/>
          <w:szCs w:val="24"/>
          <w:lang w:val="en-IE"/>
        </w:rPr>
        <w:t xml:space="preserve">above </w:t>
      </w:r>
      <w:r w:rsidRPr="00CD4F28">
        <w:rPr>
          <w:rFonts w:ascii="Arial" w:hAnsi="Arial" w:cs="Arial"/>
          <w:sz w:val="24"/>
          <w:szCs w:val="24"/>
          <w:lang w:val="en-IE"/>
        </w:rPr>
        <w:t xml:space="preserve">material developed </w:t>
      </w:r>
      <w:r w:rsidR="000A6524" w:rsidRPr="00CD4F28">
        <w:rPr>
          <w:rFonts w:ascii="Arial" w:hAnsi="Arial" w:cs="Arial"/>
          <w:sz w:val="24"/>
          <w:szCs w:val="24"/>
          <w:lang w:val="en-IE"/>
        </w:rPr>
        <w:t xml:space="preserve">at this stage </w:t>
      </w:r>
      <w:r w:rsidRPr="00CD4F28">
        <w:rPr>
          <w:rFonts w:ascii="Arial" w:hAnsi="Arial" w:cs="Arial"/>
          <w:sz w:val="24"/>
          <w:szCs w:val="24"/>
          <w:lang w:val="en-IE"/>
        </w:rPr>
        <w:t>by s</w:t>
      </w:r>
      <w:r w:rsidR="004E7C5A" w:rsidRPr="00CD4F28">
        <w:rPr>
          <w:rFonts w:ascii="Arial" w:hAnsi="Arial" w:cs="Arial"/>
          <w:sz w:val="24"/>
          <w:szCs w:val="24"/>
          <w:lang w:val="en-IE"/>
        </w:rPr>
        <w:t>upport</w:t>
      </w:r>
      <w:r w:rsidRPr="00CD4F28">
        <w:rPr>
          <w:rFonts w:ascii="Arial" w:hAnsi="Arial" w:cs="Arial"/>
          <w:sz w:val="24"/>
          <w:szCs w:val="24"/>
          <w:lang w:val="en-IE"/>
        </w:rPr>
        <w:t>ing</w:t>
      </w:r>
      <w:r w:rsidR="00BB4271" w:rsidRPr="00CD4F28">
        <w:rPr>
          <w:rFonts w:ascii="Arial" w:hAnsi="Arial" w:cs="Arial"/>
          <w:sz w:val="24"/>
          <w:szCs w:val="24"/>
          <w:lang w:val="en-IE"/>
        </w:rPr>
        <w:t xml:space="preserve"> </w:t>
      </w:r>
      <w:r w:rsidR="00D603F9">
        <w:rPr>
          <w:rFonts w:ascii="Arial" w:hAnsi="Arial" w:cs="Arial"/>
          <w:sz w:val="24"/>
          <w:szCs w:val="24"/>
          <w:lang w:val="en-IE"/>
        </w:rPr>
        <w:t>a number of</w:t>
      </w:r>
      <w:r w:rsidR="00BB4271" w:rsidRPr="00CD4F28">
        <w:rPr>
          <w:rFonts w:ascii="Arial" w:hAnsi="Arial" w:cs="Arial"/>
          <w:sz w:val="24"/>
          <w:szCs w:val="24"/>
          <w:lang w:val="en-IE"/>
        </w:rPr>
        <w:t xml:space="preserve"> </w:t>
      </w:r>
      <w:r w:rsidR="004E7C5A" w:rsidRPr="00CD4F28">
        <w:rPr>
          <w:rFonts w:ascii="Arial" w:hAnsi="Arial" w:cs="Arial"/>
          <w:sz w:val="24"/>
          <w:szCs w:val="24"/>
          <w:lang w:val="en-IE"/>
        </w:rPr>
        <w:t xml:space="preserve">pilot </w:t>
      </w:r>
      <w:r w:rsidR="004E7C5A" w:rsidRPr="00CD4F28" w:rsidDel="00D34F61">
        <w:rPr>
          <w:rFonts w:ascii="Arial" w:hAnsi="Arial" w:cs="Arial"/>
          <w:sz w:val="24"/>
          <w:szCs w:val="24"/>
          <w:lang w:val="en-IE"/>
        </w:rPr>
        <w:t>inspection</w:t>
      </w:r>
      <w:r w:rsidR="00D603F9">
        <w:rPr>
          <w:rFonts w:ascii="Arial" w:hAnsi="Arial" w:cs="Arial"/>
          <w:sz w:val="24"/>
          <w:szCs w:val="24"/>
          <w:lang w:val="en-IE"/>
        </w:rPr>
        <w:t>s</w:t>
      </w:r>
      <w:r w:rsidR="00BB4271" w:rsidRPr="00CD4F28" w:rsidDel="00D34F61">
        <w:rPr>
          <w:rFonts w:ascii="Arial" w:hAnsi="Arial" w:cs="Arial"/>
          <w:sz w:val="24"/>
          <w:szCs w:val="24"/>
          <w:lang w:val="en-IE"/>
        </w:rPr>
        <w:t xml:space="preserve"> </w:t>
      </w:r>
      <w:r w:rsidRPr="00CD4F28">
        <w:rPr>
          <w:rFonts w:ascii="Arial" w:hAnsi="Arial" w:cs="Arial"/>
          <w:sz w:val="24"/>
          <w:szCs w:val="24"/>
          <w:lang w:val="en-IE"/>
        </w:rPr>
        <w:t>in the course of the year 2020</w:t>
      </w:r>
      <w:r w:rsidR="008B561B" w:rsidRPr="00CD4F28">
        <w:rPr>
          <w:rFonts w:ascii="Arial" w:hAnsi="Arial" w:cs="Arial"/>
          <w:sz w:val="24"/>
          <w:szCs w:val="24"/>
          <w:lang w:val="en-IE"/>
        </w:rPr>
        <w:t>, ideally</w:t>
      </w:r>
      <w:r w:rsidR="005F4846">
        <w:rPr>
          <w:rFonts w:ascii="Arial" w:hAnsi="Arial" w:cs="Arial"/>
          <w:sz w:val="24"/>
          <w:szCs w:val="24"/>
          <w:lang w:val="en-IE"/>
        </w:rPr>
        <w:t xml:space="preserve"> also</w:t>
      </w:r>
      <w:r w:rsidR="008B561B" w:rsidRPr="00CD4F28">
        <w:rPr>
          <w:rFonts w:ascii="Arial" w:hAnsi="Arial" w:cs="Arial"/>
          <w:sz w:val="24"/>
          <w:szCs w:val="24"/>
          <w:lang w:val="en-IE"/>
        </w:rPr>
        <w:t xml:space="preserve"> in the framework of the campaign </w:t>
      </w:r>
      <w:r w:rsidR="005F4846">
        <w:rPr>
          <w:rFonts w:ascii="Arial" w:hAnsi="Arial" w:cs="Arial"/>
          <w:sz w:val="24"/>
          <w:szCs w:val="24"/>
          <w:lang w:val="en-IE"/>
        </w:rPr>
        <w:t>to</w:t>
      </w:r>
      <w:r w:rsidR="005F4846" w:rsidRPr="00CD4F28">
        <w:rPr>
          <w:rFonts w:ascii="Arial" w:hAnsi="Arial" w:cs="Arial"/>
          <w:sz w:val="24"/>
          <w:szCs w:val="24"/>
          <w:lang w:val="en-IE"/>
        </w:rPr>
        <w:t xml:space="preserve"> </w:t>
      </w:r>
      <w:r w:rsidR="008B561B" w:rsidRPr="00CD4F28">
        <w:rPr>
          <w:rFonts w:ascii="Arial" w:hAnsi="Arial" w:cs="Arial"/>
          <w:sz w:val="24"/>
          <w:szCs w:val="24"/>
          <w:lang w:val="en-IE"/>
        </w:rPr>
        <w:t>“Declare Work”</w:t>
      </w:r>
      <w:r w:rsidR="005F4846">
        <w:rPr>
          <w:rFonts w:ascii="Arial" w:hAnsi="Arial" w:cs="Arial"/>
          <w:sz w:val="24"/>
          <w:szCs w:val="24"/>
          <w:lang w:val="en-IE"/>
        </w:rPr>
        <w:t xml:space="preserve"> of the </w:t>
      </w:r>
      <w:r w:rsidR="005F4846" w:rsidRPr="00CD4F28">
        <w:rPr>
          <w:rFonts w:ascii="Arial" w:hAnsi="Arial" w:cs="Arial"/>
          <w:sz w:val="24"/>
          <w:szCs w:val="24"/>
          <w:lang w:val="en-IE"/>
        </w:rPr>
        <w:t xml:space="preserve">European Platform tackling </w:t>
      </w:r>
      <w:r w:rsidR="005F4846">
        <w:rPr>
          <w:rFonts w:ascii="Arial" w:hAnsi="Arial" w:cs="Arial"/>
          <w:sz w:val="24"/>
          <w:szCs w:val="24"/>
          <w:lang w:val="en-IE"/>
        </w:rPr>
        <w:t>u</w:t>
      </w:r>
      <w:r w:rsidR="005F4846" w:rsidRPr="00CD4F28">
        <w:rPr>
          <w:rFonts w:ascii="Arial" w:hAnsi="Arial" w:cs="Arial"/>
          <w:sz w:val="24"/>
          <w:szCs w:val="24"/>
          <w:lang w:val="en-IE"/>
        </w:rPr>
        <w:t xml:space="preserve">ndeclared </w:t>
      </w:r>
      <w:r w:rsidR="005F4846">
        <w:rPr>
          <w:rFonts w:ascii="Arial" w:hAnsi="Arial" w:cs="Arial"/>
          <w:sz w:val="24"/>
          <w:szCs w:val="24"/>
          <w:lang w:val="en-IE"/>
        </w:rPr>
        <w:t>w</w:t>
      </w:r>
      <w:r w:rsidR="005F4846" w:rsidRPr="00CD4F28">
        <w:rPr>
          <w:rFonts w:ascii="Arial" w:hAnsi="Arial" w:cs="Arial"/>
          <w:sz w:val="24"/>
          <w:szCs w:val="24"/>
          <w:lang w:val="en-IE"/>
        </w:rPr>
        <w:t>ork</w:t>
      </w:r>
      <w:r w:rsidRPr="00CD4F28">
        <w:rPr>
          <w:rFonts w:ascii="Arial" w:hAnsi="Arial" w:cs="Arial"/>
          <w:sz w:val="24"/>
          <w:szCs w:val="24"/>
          <w:lang w:val="en-IE"/>
        </w:rPr>
        <w:t>. The participant Member States</w:t>
      </w:r>
      <w:r w:rsidR="00D34F61" w:rsidRPr="00CD4F28">
        <w:rPr>
          <w:rFonts w:ascii="Arial" w:hAnsi="Arial" w:cs="Arial"/>
          <w:sz w:val="24"/>
          <w:szCs w:val="24"/>
          <w:lang w:val="en-IE"/>
        </w:rPr>
        <w:t xml:space="preserve"> </w:t>
      </w:r>
      <w:r w:rsidR="00BB4271" w:rsidRPr="00CD4F28">
        <w:rPr>
          <w:rFonts w:ascii="Arial" w:hAnsi="Arial" w:cs="Arial"/>
          <w:sz w:val="24"/>
          <w:szCs w:val="24"/>
          <w:lang w:val="en-IE"/>
        </w:rPr>
        <w:t>will be identified on a voluntary basis</w:t>
      </w:r>
      <w:r w:rsidR="00B866B2">
        <w:rPr>
          <w:rFonts w:ascii="Arial" w:hAnsi="Arial" w:cs="Arial"/>
          <w:sz w:val="24"/>
          <w:szCs w:val="24"/>
          <w:lang w:val="en-IE"/>
        </w:rPr>
        <w:t xml:space="preserve"> also building on their existing planning of operations</w:t>
      </w:r>
      <w:r w:rsidR="00BB4271" w:rsidRPr="00CD4F28">
        <w:rPr>
          <w:rFonts w:ascii="Arial" w:hAnsi="Arial" w:cs="Arial"/>
          <w:sz w:val="24"/>
          <w:szCs w:val="24"/>
          <w:lang w:val="en-IE"/>
        </w:rPr>
        <w:t>.</w:t>
      </w:r>
      <w:r w:rsidR="004E7C5A" w:rsidRPr="00CD4F28">
        <w:rPr>
          <w:rFonts w:ascii="Arial" w:hAnsi="Arial" w:cs="Arial"/>
          <w:sz w:val="24"/>
          <w:szCs w:val="24"/>
          <w:lang w:val="en-IE"/>
        </w:rPr>
        <w:t xml:space="preserve"> </w:t>
      </w:r>
      <w:r w:rsidR="005B02DA" w:rsidRPr="00CD4F28">
        <w:rPr>
          <w:rFonts w:ascii="Arial" w:hAnsi="Arial" w:cs="Arial"/>
          <w:sz w:val="24"/>
          <w:szCs w:val="24"/>
          <w:lang w:val="en-IE"/>
        </w:rPr>
        <w:t xml:space="preserve">The Authority </w:t>
      </w:r>
      <w:r w:rsidR="00B57908" w:rsidRPr="00CD4F28">
        <w:rPr>
          <w:rFonts w:ascii="Arial" w:hAnsi="Arial" w:cs="Arial"/>
          <w:sz w:val="24"/>
          <w:szCs w:val="24"/>
          <w:lang w:val="en-IE"/>
        </w:rPr>
        <w:t>may</w:t>
      </w:r>
      <w:r w:rsidR="005B02DA" w:rsidRPr="00CD4F28">
        <w:rPr>
          <w:rFonts w:ascii="Arial" w:hAnsi="Arial" w:cs="Arial"/>
          <w:sz w:val="24"/>
          <w:szCs w:val="24"/>
          <w:lang w:val="en-IE"/>
        </w:rPr>
        <w:t xml:space="preserve"> provide logistical and translation support, to be determined with the participating Member States. The results of the pilot inspection</w:t>
      </w:r>
      <w:r w:rsidR="00D603F9">
        <w:rPr>
          <w:rFonts w:ascii="Arial" w:hAnsi="Arial" w:cs="Arial"/>
          <w:sz w:val="24"/>
          <w:szCs w:val="24"/>
          <w:lang w:val="en-IE"/>
        </w:rPr>
        <w:t>s</w:t>
      </w:r>
      <w:r w:rsidR="005B02DA" w:rsidRPr="00CD4F28">
        <w:rPr>
          <w:rFonts w:ascii="Arial" w:hAnsi="Arial" w:cs="Arial"/>
          <w:sz w:val="24"/>
          <w:szCs w:val="24"/>
          <w:lang w:val="en-IE"/>
        </w:rPr>
        <w:t xml:space="preserve"> will be assessed in the </w:t>
      </w:r>
      <w:r w:rsidR="008A5A09" w:rsidRPr="00CD4F28">
        <w:rPr>
          <w:rFonts w:ascii="Arial" w:hAnsi="Arial" w:cs="Arial"/>
          <w:sz w:val="24"/>
          <w:szCs w:val="24"/>
          <w:lang w:val="en-IE"/>
        </w:rPr>
        <w:t>working</w:t>
      </w:r>
      <w:r w:rsidR="008B561B" w:rsidRPr="00CD4F28">
        <w:rPr>
          <w:rFonts w:ascii="Arial" w:hAnsi="Arial" w:cs="Arial"/>
          <w:sz w:val="24"/>
          <w:szCs w:val="24"/>
          <w:lang w:val="en-IE"/>
        </w:rPr>
        <w:t xml:space="preserve"> group on inspections</w:t>
      </w:r>
      <w:r w:rsidR="00072CDE" w:rsidRPr="00CD4F28">
        <w:rPr>
          <w:rFonts w:ascii="Arial" w:hAnsi="Arial" w:cs="Arial"/>
          <w:sz w:val="24"/>
          <w:szCs w:val="24"/>
          <w:lang w:val="en-IE"/>
        </w:rPr>
        <w:t xml:space="preserve"> </w:t>
      </w:r>
      <w:r w:rsidR="008A5A09" w:rsidRPr="00CD4F28">
        <w:rPr>
          <w:rFonts w:ascii="Arial" w:hAnsi="Arial" w:cs="Arial"/>
          <w:sz w:val="24"/>
          <w:szCs w:val="24"/>
          <w:lang w:val="en-IE"/>
        </w:rPr>
        <w:t>(as referred to in section 2.2.1)</w:t>
      </w:r>
      <w:r w:rsidR="00072CDE" w:rsidRPr="00CD4F28">
        <w:rPr>
          <w:rFonts w:ascii="Arial" w:hAnsi="Arial" w:cs="Arial"/>
          <w:sz w:val="24"/>
          <w:szCs w:val="24"/>
          <w:lang w:val="en-IE"/>
        </w:rPr>
        <w:t xml:space="preserve"> and </w:t>
      </w:r>
      <w:r w:rsidR="000C69A5" w:rsidRPr="00CD4F28">
        <w:rPr>
          <w:rFonts w:ascii="Arial" w:hAnsi="Arial" w:cs="Arial"/>
          <w:sz w:val="24"/>
          <w:szCs w:val="24"/>
          <w:lang w:val="en-IE"/>
        </w:rPr>
        <w:t xml:space="preserve">will provide material </w:t>
      </w:r>
      <w:r w:rsidR="00072CDE" w:rsidRPr="00CD4F28">
        <w:rPr>
          <w:rFonts w:ascii="Arial" w:hAnsi="Arial" w:cs="Arial"/>
          <w:sz w:val="24"/>
          <w:szCs w:val="24"/>
          <w:lang w:val="en-IE"/>
        </w:rPr>
        <w:t xml:space="preserve">for further improvement in carrying out the task. </w:t>
      </w:r>
    </w:p>
    <w:p w14:paraId="3D9D91C5" w14:textId="0C087969" w:rsidR="008B561B" w:rsidRPr="00CD4F28" w:rsidRDefault="008B561B" w:rsidP="00A73694">
      <w:pPr>
        <w:tabs>
          <w:tab w:val="left" w:pos="0"/>
        </w:tabs>
        <w:spacing w:line="276" w:lineRule="auto"/>
        <w:ind w:right="283"/>
        <w:jc w:val="both"/>
        <w:rPr>
          <w:rFonts w:ascii="Arial" w:hAnsi="Arial" w:cs="Arial"/>
          <w:sz w:val="24"/>
          <w:szCs w:val="24"/>
          <w:lang w:val="en-IE"/>
        </w:rPr>
      </w:pPr>
    </w:p>
    <w:p w14:paraId="3C265D47" w14:textId="43A1F834" w:rsidR="008B561B" w:rsidRPr="00CD4F28" w:rsidRDefault="008B561B" w:rsidP="00D03DF3">
      <w:pPr>
        <w:pStyle w:val="ListParagraph"/>
        <w:numPr>
          <w:ilvl w:val="2"/>
          <w:numId w:val="2"/>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Mutual learning and training activities for national inspectors</w:t>
      </w:r>
    </w:p>
    <w:p w14:paraId="1378B1E2" w14:textId="77777777" w:rsidR="00BB4271" w:rsidRPr="00CD4F28" w:rsidRDefault="00BB4271" w:rsidP="00A73694">
      <w:pPr>
        <w:pStyle w:val="BodyText"/>
        <w:tabs>
          <w:tab w:val="left" w:pos="0"/>
        </w:tabs>
        <w:spacing w:line="276" w:lineRule="auto"/>
        <w:ind w:right="283"/>
        <w:jc w:val="both"/>
        <w:rPr>
          <w:rFonts w:ascii="Arial" w:hAnsi="Arial" w:cs="Arial"/>
          <w:sz w:val="24"/>
          <w:szCs w:val="24"/>
          <w:lang w:val="en-IE"/>
        </w:rPr>
      </w:pPr>
    </w:p>
    <w:p w14:paraId="3525D981" w14:textId="66DE630E" w:rsidR="00522E42" w:rsidRPr="000C0533" w:rsidRDefault="00BB4271"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organise a set of </w:t>
      </w:r>
      <w:r w:rsidR="008B561B" w:rsidRPr="00CD4F28">
        <w:rPr>
          <w:rFonts w:ascii="Arial" w:hAnsi="Arial" w:cs="Arial"/>
          <w:sz w:val="24"/>
          <w:szCs w:val="24"/>
          <w:lang w:val="en-IE"/>
        </w:rPr>
        <w:t xml:space="preserve">mutual </w:t>
      </w:r>
      <w:r w:rsidRPr="00CD4F28">
        <w:rPr>
          <w:rFonts w:ascii="Arial" w:hAnsi="Arial" w:cs="Arial"/>
          <w:sz w:val="24"/>
          <w:szCs w:val="24"/>
          <w:lang w:val="en-IE"/>
        </w:rPr>
        <w:t>learning and training activities</w:t>
      </w:r>
      <w:r w:rsidR="008B561B" w:rsidRPr="00CD4F28">
        <w:rPr>
          <w:rFonts w:ascii="Arial" w:hAnsi="Arial" w:cs="Arial"/>
          <w:sz w:val="24"/>
          <w:szCs w:val="24"/>
          <w:lang w:val="en-IE"/>
        </w:rPr>
        <w:t xml:space="preserve">, including </w:t>
      </w:r>
      <w:r w:rsidR="003D744F" w:rsidRPr="00CD4F28">
        <w:rPr>
          <w:rFonts w:ascii="Arial" w:hAnsi="Arial" w:cs="Arial"/>
          <w:sz w:val="24"/>
          <w:szCs w:val="24"/>
          <w:lang w:val="en-IE"/>
        </w:rPr>
        <w:t xml:space="preserve">e.g. </w:t>
      </w:r>
      <w:r w:rsidR="008B561B" w:rsidRPr="00CD4F28">
        <w:rPr>
          <w:rFonts w:ascii="Arial" w:hAnsi="Arial" w:cs="Arial"/>
          <w:sz w:val="24"/>
          <w:szCs w:val="24"/>
          <w:lang w:val="en-IE"/>
        </w:rPr>
        <w:t>staff visits,</w:t>
      </w:r>
      <w:r w:rsidRPr="00CD4F28">
        <w:rPr>
          <w:rFonts w:ascii="Arial" w:hAnsi="Arial" w:cs="Arial"/>
          <w:sz w:val="24"/>
          <w:szCs w:val="24"/>
          <w:lang w:val="en-IE"/>
        </w:rPr>
        <w:t xml:space="preserve"> aimed at national inspectors and practitioners</w:t>
      </w:r>
      <w:r w:rsidR="008B561B" w:rsidRPr="00CD4F28">
        <w:rPr>
          <w:rFonts w:ascii="Arial" w:hAnsi="Arial" w:cs="Arial"/>
          <w:sz w:val="24"/>
          <w:szCs w:val="24"/>
          <w:lang w:val="en-IE"/>
        </w:rPr>
        <w:t xml:space="preserve">, including National Liaison Officers, with the objectives of promoting the exchange of practices, knowledge about national legislation and inspection practices, as well as bilateral agreements in place, and of </w:t>
      </w:r>
      <w:r w:rsidR="00D07AE1">
        <w:rPr>
          <w:rFonts w:ascii="Arial" w:hAnsi="Arial" w:cs="Arial"/>
          <w:sz w:val="24"/>
          <w:szCs w:val="24"/>
          <w:lang w:val="en-IE"/>
        </w:rPr>
        <w:t>fostering</w:t>
      </w:r>
      <w:r w:rsidR="00D07AE1" w:rsidRPr="00CD4F28">
        <w:rPr>
          <w:rFonts w:ascii="Arial" w:hAnsi="Arial" w:cs="Arial"/>
          <w:sz w:val="24"/>
          <w:szCs w:val="24"/>
          <w:lang w:val="en-IE"/>
        </w:rPr>
        <w:t xml:space="preserve"> </w:t>
      </w:r>
      <w:r w:rsidR="008B561B" w:rsidRPr="00CD4F28">
        <w:rPr>
          <w:rFonts w:ascii="Arial" w:hAnsi="Arial" w:cs="Arial"/>
          <w:sz w:val="24"/>
          <w:szCs w:val="24"/>
          <w:lang w:val="en-IE"/>
        </w:rPr>
        <w:t xml:space="preserve">a </w:t>
      </w:r>
      <w:r w:rsidR="00D07AE1">
        <w:rPr>
          <w:rFonts w:ascii="Arial" w:hAnsi="Arial" w:cs="Arial"/>
          <w:sz w:val="24"/>
          <w:szCs w:val="24"/>
          <w:lang w:val="en-IE"/>
        </w:rPr>
        <w:t>culture of cooperation</w:t>
      </w:r>
      <w:r w:rsidR="00D07AE1" w:rsidRPr="00CD4F28">
        <w:rPr>
          <w:rFonts w:ascii="Arial" w:hAnsi="Arial" w:cs="Arial"/>
          <w:sz w:val="24"/>
          <w:szCs w:val="24"/>
          <w:lang w:val="en-IE"/>
        </w:rPr>
        <w:t xml:space="preserve"> </w:t>
      </w:r>
      <w:r w:rsidR="00D07AE1">
        <w:rPr>
          <w:rFonts w:ascii="Arial" w:hAnsi="Arial" w:cs="Arial"/>
          <w:sz w:val="24"/>
          <w:szCs w:val="24"/>
          <w:lang w:val="en-IE"/>
        </w:rPr>
        <w:t xml:space="preserve">on </w:t>
      </w:r>
      <w:r w:rsidR="008B561B" w:rsidRPr="00CD4F28">
        <w:rPr>
          <w:rFonts w:ascii="Arial" w:hAnsi="Arial" w:cs="Arial"/>
          <w:sz w:val="24"/>
          <w:szCs w:val="24"/>
          <w:lang w:val="en-IE"/>
        </w:rPr>
        <w:t>cross-border inspection</w:t>
      </w:r>
      <w:r w:rsidR="00D07AE1">
        <w:rPr>
          <w:rFonts w:ascii="Arial" w:hAnsi="Arial" w:cs="Arial"/>
          <w:sz w:val="24"/>
          <w:szCs w:val="24"/>
          <w:lang w:val="en-IE"/>
        </w:rPr>
        <w:t>s</w:t>
      </w:r>
      <w:r w:rsidR="008B561B" w:rsidRPr="00CD4F28">
        <w:rPr>
          <w:rFonts w:ascii="Arial" w:hAnsi="Arial" w:cs="Arial"/>
          <w:sz w:val="24"/>
          <w:szCs w:val="24"/>
          <w:lang w:val="en-IE"/>
        </w:rPr>
        <w:t xml:space="preserve">. This activity will build on relevant activities carried out thus far by the </w:t>
      </w:r>
      <w:r w:rsidR="0089653F" w:rsidRPr="00CD4F28">
        <w:rPr>
          <w:rFonts w:ascii="Arial" w:hAnsi="Arial" w:cs="Arial"/>
          <w:sz w:val="24"/>
          <w:szCs w:val="24"/>
          <w:lang w:val="en-IE"/>
        </w:rPr>
        <w:t xml:space="preserve">European </w:t>
      </w:r>
      <w:r w:rsidR="008B561B" w:rsidRPr="00CD4F28">
        <w:rPr>
          <w:rFonts w:ascii="Arial" w:hAnsi="Arial" w:cs="Arial"/>
          <w:sz w:val="24"/>
          <w:szCs w:val="24"/>
          <w:lang w:val="en-IE"/>
        </w:rPr>
        <w:t>Platform tackling undeclared work</w:t>
      </w:r>
      <w:r w:rsidR="0038781E" w:rsidRPr="00CD4F28">
        <w:rPr>
          <w:rFonts w:ascii="Arial" w:hAnsi="Arial" w:cs="Arial"/>
          <w:sz w:val="24"/>
          <w:szCs w:val="24"/>
          <w:lang w:val="en-IE"/>
        </w:rPr>
        <w:t xml:space="preserve"> and EU-funded projects such as Eurodetachement</w:t>
      </w:r>
      <w:r w:rsidRPr="00CD4F28">
        <w:rPr>
          <w:rFonts w:ascii="Arial" w:hAnsi="Arial" w:cs="Arial"/>
          <w:sz w:val="24"/>
          <w:szCs w:val="24"/>
          <w:lang w:val="en-IE"/>
        </w:rPr>
        <w:t xml:space="preserve">. </w:t>
      </w:r>
      <w:r w:rsidR="00AB68A3">
        <w:rPr>
          <w:rFonts w:ascii="Arial" w:hAnsi="Arial" w:cs="Arial"/>
          <w:sz w:val="24"/>
          <w:szCs w:val="24"/>
          <w:lang w:val="en-IE"/>
        </w:rPr>
        <w:t>The Authority will finally a</w:t>
      </w:r>
      <w:r w:rsidR="00AB68A3" w:rsidRPr="00AB68A3">
        <w:rPr>
          <w:rFonts w:ascii="Arial" w:hAnsi="Arial" w:cs="Arial"/>
          <w:sz w:val="24"/>
          <w:szCs w:val="24"/>
          <w:lang w:val="en-IE"/>
        </w:rPr>
        <w:t>nalyse issues related to personal data protection arising from the provisions of Regulatio</w:t>
      </w:r>
      <w:r w:rsidR="00AB68A3">
        <w:rPr>
          <w:rFonts w:ascii="Arial" w:hAnsi="Arial" w:cs="Arial"/>
          <w:sz w:val="24"/>
          <w:szCs w:val="24"/>
          <w:lang w:val="en-IE"/>
        </w:rPr>
        <w:t>ns (EU) 2018/1725 and 2016/679</w:t>
      </w:r>
      <w:r w:rsidR="00B92DB6">
        <w:rPr>
          <w:rFonts w:ascii="Arial" w:hAnsi="Arial" w:cs="Arial"/>
          <w:sz w:val="24"/>
          <w:szCs w:val="24"/>
          <w:lang w:val="en-IE"/>
        </w:rPr>
        <w:t>.</w:t>
      </w:r>
    </w:p>
    <w:p w14:paraId="502E023D" w14:textId="77777777" w:rsidR="001E221A" w:rsidRPr="00CD4F28" w:rsidRDefault="001E221A" w:rsidP="00A73694">
      <w:pPr>
        <w:pStyle w:val="BodyText"/>
        <w:tabs>
          <w:tab w:val="left" w:pos="0"/>
        </w:tabs>
        <w:spacing w:line="276" w:lineRule="auto"/>
        <w:ind w:right="283"/>
        <w:jc w:val="both"/>
        <w:rPr>
          <w:rFonts w:ascii="Arial" w:hAnsi="Arial" w:cs="Arial"/>
          <w:sz w:val="24"/>
          <w:szCs w:val="24"/>
          <w:lang w:val="en-IE"/>
        </w:rPr>
      </w:pPr>
    </w:p>
    <w:p w14:paraId="172D0413" w14:textId="7619F85F" w:rsidR="00BB4271" w:rsidRPr="00CD4F28" w:rsidRDefault="001E221A" w:rsidP="00D03DF3">
      <w:pPr>
        <w:pStyle w:val="BodyText"/>
        <w:numPr>
          <w:ilvl w:val="2"/>
          <w:numId w:val="2"/>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Translation</w:t>
      </w:r>
      <w:r w:rsidR="008B561B" w:rsidRPr="00CD4F28">
        <w:rPr>
          <w:rFonts w:ascii="Arial" w:hAnsi="Arial" w:cs="Arial"/>
          <w:b/>
          <w:sz w:val="24"/>
          <w:szCs w:val="24"/>
          <w:lang w:val="en-IE"/>
        </w:rPr>
        <w:t xml:space="preserve"> of ELA-produced material</w:t>
      </w:r>
    </w:p>
    <w:p w14:paraId="3B542381" w14:textId="77777777" w:rsidR="00BB4271" w:rsidRPr="00CD4F28" w:rsidRDefault="00BB4271" w:rsidP="00A73694">
      <w:pPr>
        <w:pStyle w:val="BodyText"/>
        <w:tabs>
          <w:tab w:val="left" w:pos="0"/>
        </w:tabs>
        <w:spacing w:line="276" w:lineRule="auto"/>
        <w:ind w:right="283"/>
        <w:jc w:val="both"/>
        <w:rPr>
          <w:rFonts w:ascii="Arial" w:hAnsi="Arial" w:cs="Arial"/>
          <w:sz w:val="24"/>
          <w:szCs w:val="24"/>
          <w:lang w:val="en-IE"/>
        </w:rPr>
      </w:pPr>
    </w:p>
    <w:p w14:paraId="4DB2B354" w14:textId="6DCD310F" w:rsidR="008B561B" w:rsidRPr="00CD4F28" w:rsidRDefault="003F5F0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where </w:t>
      </w:r>
      <w:r w:rsidR="001748D8">
        <w:rPr>
          <w:rFonts w:ascii="Arial" w:hAnsi="Arial" w:cs="Arial"/>
          <w:sz w:val="24"/>
          <w:szCs w:val="24"/>
          <w:lang w:val="en-IE"/>
        </w:rPr>
        <w:t>appropriate</w:t>
      </w:r>
      <w:r w:rsidRPr="00CD4F28">
        <w:rPr>
          <w:rFonts w:ascii="Arial" w:hAnsi="Arial" w:cs="Arial"/>
          <w:sz w:val="24"/>
          <w:szCs w:val="24"/>
          <w:lang w:val="en-IE"/>
        </w:rPr>
        <w:t>,</w:t>
      </w:r>
      <w:r w:rsidR="008B561B" w:rsidRPr="00CD4F28">
        <w:rPr>
          <w:rFonts w:ascii="Arial" w:hAnsi="Arial" w:cs="Arial"/>
          <w:sz w:val="24"/>
          <w:szCs w:val="24"/>
          <w:lang w:val="en-IE"/>
        </w:rPr>
        <w:t xml:space="preserve"> </w:t>
      </w:r>
      <w:r w:rsidRPr="00CD4F28">
        <w:rPr>
          <w:rFonts w:ascii="Arial" w:hAnsi="Arial" w:cs="Arial"/>
          <w:sz w:val="24"/>
          <w:szCs w:val="24"/>
          <w:lang w:val="en-IE"/>
        </w:rPr>
        <w:t xml:space="preserve">will </w:t>
      </w:r>
      <w:r w:rsidR="008B561B" w:rsidRPr="00CD4F28">
        <w:rPr>
          <w:rFonts w:ascii="Arial" w:hAnsi="Arial" w:cs="Arial"/>
          <w:sz w:val="24"/>
          <w:szCs w:val="24"/>
          <w:lang w:val="en-IE"/>
        </w:rPr>
        <w:t>translate the relevant material</w:t>
      </w:r>
      <w:r w:rsidRPr="00CD4F28">
        <w:rPr>
          <w:rFonts w:ascii="Arial" w:hAnsi="Arial" w:cs="Arial"/>
          <w:sz w:val="24"/>
          <w:szCs w:val="24"/>
          <w:lang w:val="en-IE"/>
        </w:rPr>
        <w:t>s</w:t>
      </w:r>
      <w:r w:rsidR="008B561B" w:rsidRPr="00CD4F28">
        <w:rPr>
          <w:rFonts w:ascii="Arial" w:hAnsi="Arial" w:cs="Arial"/>
          <w:sz w:val="24"/>
          <w:szCs w:val="24"/>
          <w:lang w:val="en-IE"/>
        </w:rPr>
        <w:t xml:space="preserve">, such as the </w:t>
      </w:r>
      <w:r w:rsidRPr="00CD4F28">
        <w:rPr>
          <w:rFonts w:ascii="Arial" w:hAnsi="Arial" w:cs="Arial"/>
          <w:sz w:val="24"/>
          <w:szCs w:val="24"/>
          <w:lang w:val="en-IE"/>
        </w:rPr>
        <w:t xml:space="preserve">model agreement </w:t>
      </w:r>
      <w:r w:rsidR="008B561B" w:rsidRPr="00CD4F28">
        <w:rPr>
          <w:rFonts w:ascii="Arial" w:hAnsi="Arial" w:cs="Arial"/>
          <w:sz w:val="24"/>
          <w:szCs w:val="24"/>
          <w:lang w:val="en-IE"/>
        </w:rPr>
        <w:t xml:space="preserve">for inspections, in order to facilitate the dissemination and use of </w:t>
      </w:r>
      <w:r w:rsidR="008B561B" w:rsidRPr="00CD4F28">
        <w:rPr>
          <w:rFonts w:ascii="Arial" w:hAnsi="Arial" w:cs="Arial"/>
          <w:sz w:val="24"/>
          <w:szCs w:val="24"/>
          <w:lang w:val="en-IE"/>
        </w:rPr>
        <w:lastRenderedPageBreak/>
        <w:t xml:space="preserve">ELA material. </w:t>
      </w:r>
    </w:p>
    <w:p w14:paraId="2BF1FACF" w14:textId="34841550" w:rsidR="00C350B1" w:rsidRPr="00CD4F28" w:rsidRDefault="00C350B1" w:rsidP="00A73694">
      <w:pPr>
        <w:pStyle w:val="BodyText"/>
        <w:tabs>
          <w:tab w:val="left" w:pos="0"/>
        </w:tabs>
        <w:spacing w:line="276" w:lineRule="auto"/>
        <w:ind w:right="283"/>
        <w:jc w:val="both"/>
        <w:rPr>
          <w:rFonts w:ascii="Arial" w:hAnsi="Arial" w:cs="Arial"/>
          <w:sz w:val="24"/>
          <w:szCs w:val="24"/>
          <w:lang w:val="en-IE"/>
        </w:rPr>
      </w:pPr>
    </w:p>
    <w:tbl>
      <w:tblPr>
        <w:tblStyle w:val="TableGrid"/>
        <w:tblW w:w="9072" w:type="dxa"/>
        <w:tblInd w:w="108" w:type="dxa"/>
        <w:tblLook w:val="04A0" w:firstRow="1" w:lastRow="0" w:firstColumn="1" w:lastColumn="0" w:noHBand="0" w:noVBand="1"/>
      </w:tblPr>
      <w:tblGrid>
        <w:gridCol w:w="2198"/>
        <w:gridCol w:w="2488"/>
        <w:gridCol w:w="1299"/>
        <w:gridCol w:w="1670"/>
        <w:gridCol w:w="1417"/>
      </w:tblGrid>
      <w:tr w:rsidR="003B260F" w:rsidRPr="00CD4F28" w14:paraId="4B1832E1" w14:textId="77777777" w:rsidTr="0056195E">
        <w:tc>
          <w:tcPr>
            <w:tcW w:w="2198" w:type="dxa"/>
            <w:vAlign w:val="center"/>
          </w:tcPr>
          <w:p w14:paraId="54625F94" w14:textId="082493EF"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Activities</w:t>
            </w:r>
          </w:p>
        </w:tc>
        <w:tc>
          <w:tcPr>
            <w:tcW w:w="2488" w:type="dxa"/>
            <w:vAlign w:val="center"/>
          </w:tcPr>
          <w:p w14:paraId="5CF99A30" w14:textId="77777777"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Method</w:t>
            </w:r>
          </w:p>
        </w:tc>
        <w:tc>
          <w:tcPr>
            <w:tcW w:w="1299" w:type="dxa"/>
            <w:vAlign w:val="center"/>
          </w:tcPr>
          <w:p w14:paraId="5ABB763B" w14:textId="1912BDAB"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 xml:space="preserve">2019 </w:t>
            </w:r>
          </w:p>
        </w:tc>
        <w:tc>
          <w:tcPr>
            <w:tcW w:w="1670" w:type="dxa"/>
            <w:vAlign w:val="center"/>
          </w:tcPr>
          <w:p w14:paraId="6E9D1314" w14:textId="12CCED62"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Time</w:t>
            </w:r>
          </w:p>
        </w:tc>
        <w:tc>
          <w:tcPr>
            <w:tcW w:w="1417" w:type="dxa"/>
            <w:vAlign w:val="center"/>
          </w:tcPr>
          <w:p w14:paraId="1AF1D8D5" w14:textId="2CBBF11A"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2020 Estimate</w:t>
            </w:r>
          </w:p>
        </w:tc>
      </w:tr>
      <w:tr w:rsidR="003B260F" w:rsidRPr="00CD4F28" w14:paraId="21FF1AFC" w14:textId="77777777" w:rsidTr="0056195E">
        <w:tc>
          <w:tcPr>
            <w:tcW w:w="2198" w:type="dxa"/>
            <w:vAlign w:val="center"/>
          </w:tcPr>
          <w:p w14:paraId="03E1E0EF" w14:textId="4A71EFDE"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Working Group</w:t>
            </w:r>
          </w:p>
        </w:tc>
        <w:tc>
          <w:tcPr>
            <w:tcW w:w="2488" w:type="dxa"/>
            <w:vAlign w:val="center"/>
          </w:tcPr>
          <w:p w14:paraId="0B7EF1CA" w14:textId="77777777"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Organisation of the meetings, reimbursement of costs</w:t>
            </w:r>
          </w:p>
        </w:tc>
        <w:tc>
          <w:tcPr>
            <w:tcW w:w="1299" w:type="dxa"/>
            <w:vAlign w:val="center"/>
          </w:tcPr>
          <w:p w14:paraId="09CF083F" w14:textId="7F030463"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40 000</w:t>
            </w:r>
          </w:p>
        </w:tc>
        <w:tc>
          <w:tcPr>
            <w:tcW w:w="1670" w:type="dxa"/>
            <w:vAlign w:val="center"/>
          </w:tcPr>
          <w:p w14:paraId="62D9AE53" w14:textId="4801D82D"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 xml:space="preserve">6 Meetings </w:t>
            </w:r>
          </w:p>
          <w:p w14:paraId="6AF81AA6" w14:textId="62E0BDAE"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Q1 - Q4</w:t>
            </w:r>
          </w:p>
        </w:tc>
        <w:tc>
          <w:tcPr>
            <w:tcW w:w="1417" w:type="dxa"/>
            <w:vAlign w:val="center"/>
          </w:tcPr>
          <w:p w14:paraId="4B233D9A" w14:textId="65E642A5" w:rsidR="003B260F" w:rsidRPr="00CD4F28" w:rsidRDefault="003B260F" w:rsidP="003B260F">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180 000</w:t>
            </w:r>
          </w:p>
        </w:tc>
      </w:tr>
      <w:tr w:rsidR="003B260F" w:rsidRPr="00CD4F28" w14:paraId="5CD2E696" w14:textId="77777777" w:rsidTr="0056195E">
        <w:tc>
          <w:tcPr>
            <w:tcW w:w="2198" w:type="dxa"/>
            <w:vAlign w:val="center"/>
          </w:tcPr>
          <w:p w14:paraId="52BAE773" w14:textId="13775E62"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Arrangements and tools, incl. consultancy services</w:t>
            </w:r>
          </w:p>
        </w:tc>
        <w:tc>
          <w:tcPr>
            <w:tcW w:w="2488" w:type="dxa"/>
            <w:vAlign w:val="center"/>
          </w:tcPr>
          <w:p w14:paraId="365240E2" w14:textId="49C980F0"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Service contract</w:t>
            </w:r>
          </w:p>
        </w:tc>
        <w:tc>
          <w:tcPr>
            <w:tcW w:w="1299" w:type="dxa"/>
            <w:vAlign w:val="center"/>
          </w:tcPr>
          <w:p w14:paraId="514AA8C5" w14:textId="31CC3DCE"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100 000</w:t>
            </w:r>
          </w:p>
        </w:tc>
        <w:tc>
          <w:tcPr>
            <w:tcW w:w="1670" w:type="dxa"/>
            <w:vAlign w:val="center"/>
          </w:tcPr>
          <w:p w14:paraId="073C4BDA" w14:textId="05D4D70C"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Q1 - Q4</w:t>
            </w:r>
          </w:p>
        </w:tc>
        <w:tc>
          <w:tcPr>
            <w:tcW w:w="1417" w:type="dxa"/>
            <w:vAlign w:val="center"/>
          </w:tcPr>
          <w:p w14:paraId="2F369A87" w14:textId="69DF5DC7" w:rsidR="003B260F" w:rsidRPr="00CD4F28" w:rsidRDefault="003B260F" w:rsidP="003B260F">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150 000</w:t>
            </w:r>
          </w:p>
        </w:tc>
      </w:tr>
      <w:tr w:rsidR="003B260F" w:rsidRPr="00CD4F28" w14:paraId="7138A78D" w14:textId="77777777" w:rsidTr="0056195E">
        <w:tc>
          <w:tcPr>
            <w:tcW w:w="2198" w:type="dxa"/>
            <w:vAlign w:val="center"/>
          </w:tcPr>
          <w:p w14:paraId="21E4F584" w14:textId="40C4CB78"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Pilot inspection</w:t>
            </w:r>
            <w:r w:rsidR="00D603F9">
              <w:rPr>
                <w:rFonts w:ascii="Arial" w:hAnsi="Arial" w:cs="Arial"/>
                <w:sz w:val="22"/>
                <w:szCs w:val="24"/>
                <w:lang w:val="en-IE"/>
              </w:rPr>
              <w:t>s</w:t>
            </w:r>
          </w:p>
        </w:tc>
        <w:tc>
          <w:tcPr>
            <w:tcW w:w="2488" w:type="dxa"/>
            <w:vAlign w:val="center"/>
          </w:tcPr>
          <w:p w14:paraId="67AB8771" w14:textId="3F65F7CC"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Service contracts for logistics and interpretation, reimbursement of costs</w:t>
            </w:r>
          </w:p>
        </w:tc>
        <w:tc>
          <w:tcPr>
            <w:tcW w:w="1299" w:type="dxa"/>
          </w:tcPr>
          <w:p w14:paraId="29254C0B" w14:textId="77777777"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p>
        </w:tc>
        <w:tc>
          <w:tcPr>
            <w:tcW w:w="1670" w:type="dxa"/>
            <w:vAlign w:val="center"/>
          </w:tcPr>
          <w:p w14:paraId="3A77E69F" w14:textId="416DB77F"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Q2</w:t>
            </w:r>
          </w:p>
        </w:tc>
        <w:tc>
          <w:tcPr>
            <w:tcW w:w="1417" w:type="dxa"/>
            <w:vAlign w:val="center"/>
          </w:tcPr>
          <w:p w14:paraId="24D7432C" w14:textId="73E00D06" w:rsidR="003B260F" w:rsidRPr="00CD4F28" w:rsidRDefault="00F16AB4" w:rsidP="003B260F">
            <w:pPr>
              <w:pStyle w:val="BodyText"/>
              <w:tabs>
                <w:tab w:val="left" w:pos="0"/>
              </w:tabs>
              <w:spacing w:line="276" w:lineRule="auto"/>
              <w:ind w:right="283"/>
              <w:jc w:val="right"/>
              <w:rPr>
                <w:rFonts w:ascii="Arial" w:hAnsi="Arial" w:cs="Arial"/>
                <w:sz w:val="22"/>
                <w:szCs w:val="24"/>
                <w:lang w:val="en-IE"/>
              </w:rPr>
            </w:pPr>
            <w:r>
              <w:rPr>
                <w:rFonts w:ascii="Arial" w:hAnsi="Arial" w:cs="Arial"/>
                <w:sz w:val="22"/>
                <w:szCs w:val="24"/>
                <w:lang w:val="en-IE"/>
              </w:rPr>
              <w:t>65</w:t>
            </w:r>
            <w:r w:rsidRPr="00CD4F28">
              <w:rPr>
                <w:rFonts w:ascii="Arial" w:hAnsi="Arial" w:cs="Arial"/>
                <w:sz w:val="22"/>
                <w:szCs w:val="24"/>
                <w:lang w:val="en-IE"/>
              </w:rPr>
              <w:t xml:space="preserve"> </w:t>
            </w:r>
            <w:r w:rsidR="003B260F" w:rsidRPr="00CD4F28">
              <w:rPr>
                <w:rFonts w:ascii="Arial" w:hAnsi="Arial" w:cs="Arial"/>
                <w:sz w:val="22"/>
                <w:szCs w:val="24"/>
                <w:lang w:val="en-IE"/>
              </w:rPr>
              <w:t>000</w:t>
            </w:r>
          </w:p>
        </w:tc>
      </w:tr>
      <w:tr w:rsidR="003B260F" w:rsidRPr="00CD4F28" w14:paraId="6A0F6A4A" w14:textId="77777777" w:rsidTr="0056195E">
        <w:tc>
          <w:tcPr>
            <w:tcW w:w="2198" w:type="dxa"/>
            <w:vAlign w:val="center"/>
          </w:tcPr>
          <w:p w14:paraId="2580D1BF" w14:textId="3246F1C7"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Learning and training</w:t>
            </w:r>
          </w:p>
        </w:tc>
        <w:tc>
          <w:tcPr>
            <w:tcW w:w="2488" w:type="dxa"/>
            <w:vAlign w:val="center"/>
          </w:tcPr>
          <w:p w14:paraId="59FB5A3C" w14:textId="6EC3369D"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Service contract</w:t>
            </w:r>
          </w:p>
        </w:tc>
        <w:tc>
          <w:tcPr>
            <w:tcW w:w="1299" w:type="dxa"/>
          </w:tcPr>
          <w:p w14:paraId="727FAB67" w14:textId="77777777"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p>
        </w:tc>
        <w:tc>
          <w:tcPr>
            <w:tcW w:w="1670" w:type="dxa"/>
            <w:vAlign w:val="center"/>
          </w:tcPr>
          <w:p w14:paraId="1AC1A570" w14:textId="453A8EA8"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Q3 - Q4</w:t>
            </w:r>
          </w:p>
        </w:tc>
        <w:tc>
          <w:tcPr>
            <w:tcW w:w="1417" w:type="dxa"/>
            <w:vAlign w:val="center"/>
          </w:tcPr>
          <w:p w14:paraId="11F473E9" w14:textId="203CC747" w:rsidR="003B260F" w:rsidRPr="00CD4F28" w:rsidRDefault="003B260F" w:rsidP="003B260F">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100 000</w:t>
            </w:r>
          </w:p>
        </w:tc>
      </w:tr>
      <w:tr w:rsidR="003B260F" w:rsidRPr="00CD4F28" w14:paraId="49BDDFA0" w14:textId="77777777" w:rsidTr="0056195E">
        <w:tc>
          <w:tcPr>
            <w:tcW w:w="2198" w:type="dxa"/>
            <w:vAlign w:val="center"/>
          </w:tcPr>
          <w:p w14:paraId="23522B70" w14:textId="7A808EA0"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Translations</w:t>
            </w:r>
          </w:p>
        </w:tc>
        <w:tc>
          <w:tcPr>
            <w:tcW w:w="2488" w:type="dxa"/>
            <w:vAlign w:val="center"/>
          </w:tcPr>
          <w:p w14:paraId="22592B80" w14:textId="23911330" w:rsidR="003B260F" w:rsidRPr="00CD4F28" w:rsidRDefault="003B260F" w:rsidP="003B260F">
            <w:pPr>
              <w:pStyle w:val="BodyText"/>
              <w:tabs>
                <w:tab w:val="left" w:pos="0"/>
              </w:tabs>
              <w:spacing w:line="276" w:lineRule="auto"/>
              <w:ind w:right="283"/>
              <w:rPr>
                <w:rFonts w:ascii="Arial" w:hAnsi="Arial" w:cs="Arial"/>
                <w:sz w:val="22"/>
                <w:szCs w:val="24"/>
                <w:lang w:val="en-IE"/>
              </w:rPr>
            </w:pPr>
            <w:r w:rsidRPr="003B260F">
              <w:rPr>
                <w:rFonts w:ascii="Arial" w:hAnsi="Arial" w:cs="Arial"/>
                <w:sz w:val="22"/>
                <w:szCs w:val="24"/>
                <w:lang w:val="en-IE"/>
              </w:rPr>
              <w:t>Translation Centre or service contract</w:t>
            </w:r>
            <w:r w:rsidRPr="00CD4F28">
              <w:rPr>
                <w:rFonts w:ascii="Arial" w:hAnsi="Arial" w:cs="Arial"/>
                <w:sz w:val="22"/>
                <w:szCs w:val="24"/>
                <w:lang w:val="en-IE"/>
              </w:rPr>
              <w:t xml:space="preserve"> </w:t>
            </w:r>
          </w:p>
        </w:tc>
        <w:tc>
          <w:tcPr>
            <w:tcW w:w="1299" w:type="dxa"/>
          </w:tcPr>
          <w:p w14:paraId="6BE44F57" w14:textId="77777777"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p>
        </w:tc>
        <w:tc>
          <w:tcPr>
            <w:tcW w:w="1670" w:type="dxa"/>
            <w:vAlign w:val="center"/>
          </w:tcPr>
          <w:p w14:paraId="51E68FBC" w14:textId="04DB4B4C"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Q3/Q4</w:t>
            </w:r>
          </w:p>
        </w:tc>
        <w:tc>
          <w:tcPr>
            <w:tcW w:w="1417" w:type="dxa"/>
            <w:vAlign w:val="center"/>
          </w:tcPr>
          <w:p w14:paraId="15250F05" w14:textId="116710A1" w:rsidR="003B260F" w:rsidRPr="00CD4F28" w:rsidRDefault="003B260F" w:rsidP="003B260F">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250 000</w:t>
            </w:r>
          </w:p>
        </w:tc>
      </w:tr>
      <w:tr w:rsidR="003B260F" w:rsidRPr="00CD4F28" w14:paraId="441E8A90" w14:textId="77777777" w:rsidTr="0056195E">
        <w:tc>
          <w:tcPr>
            <w:tcW w:w="2198" w:type="dxa"/>
            <w:shd w:val="clear" w:color="auto" w:fill="EEECE1" w:themeFill="background2"/>
          </w:tcPr>
          <w:p w14:paraId="44966297" w14:textId="77777777" w:rsidR="003B260F" w:rsidRPr="00CD4F28" w:rsidRDefault="003B260F" w:rsidP="003B260F">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Total</w:t>
            </w:r>
          </w:p>
        </w:tc>
        <w:tc>
          <w:tcPr>
            <w:tcW w:w="2488" w:type="dxa"/>
            <w:shd w:val="clear" w:color="auto" w:fill="EEECE1" w:themeFill="background2"/>
          </w:tcPr>
          <w:p w14:paraId="5851118C" w14:textId="77777777" w:rsidR="003B260F" w:rsidRPr="00CD4F28" w:rsidRDefault="003B260F" w:rsidP="003B260F">
            <w:pPr>
              <w:pStyle w:val="BodyText"/>
              <w:tabs>
                <w:tab w:val="left" w:pos="0"/>
              </w:tabs>
              <w:spacing w:line="276" w:lineRule="auto"/>
              <w:ind w:right="283"/>
              <w:rPr>
                <w:rFonts w:ascii="Arial" w:hAnsi="Arial" w:cs="Arial"/>
                <w:sz w:val="22"/>
                <w:szCs w:val="24"/>
                <w:lang w:val="en-IE"/>
              </w:rPr>
            </w:pPr>
          </w:p>
        </w:tc>
        <w:tc>
          <w:tcPr>
            <w:tcW w:w="1299" w:type="dxa"/>
            <w:shd w:val="clear" w:color="auto" w:fill="EEECE1" w:themeFill="background2"/>
            <w:vAlign w:val="center"/>
          </w:tcPr>
          <w:p w14:paraId="1D95B974" w14:textId="036BDAC9"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b/>
                <w:sz w:val="22"/>
                <w:szCs w:val="24"/>
                <w:lang w:val="en-IE"/>
              </w:rPr>
              <w:t>140 000</w:t>
            </w:r>
          </w:p>
        </w:tc>
        <w:tc>
          <w:tcPr>
            <w:tcW w:w="1670" w:type="dxa"/>
            <w:shd w:val="clear" w:color="auto" w:fill="EEECE1" w:themeFill="background2"/>
          </w:tcPr>
          <w:p w14:paraId="391B07C5" w14:textId="2831E7C8" w:rsidR="003B260F" w:rsidRPr="00CD4F28" w:rsidRDefault="003B260F" w:rsidP="003B260F">
            <w:pPr>
              <w:pStyle w:val="BodyText"/>
              <w:tabs>
                <w:tab w:val="left" w:pos="0"/>
              </w:tabs>
              <w:spacing w:line="276" w:lineRule="auto"/>
              <w:ind w:right="283"/>
              <w:jc w:val="center"/>
              <w:rPr>
                <w:rFonts w:ascii="Arial" w:hAnsi="Arial" w:cs="Arial"/>
                <w:sz w:val="22"/>
                <w:szCs w:val="24"/>
                <w:lang w:val="en-IE"/>
              </w:rPr>
            </w:pPr>
          </w:p>
        </w:tc>
        <w:tc>
          <w:tcPr>
            <w:tcW w:w="1417" w:type="dxa"/>
            <w:shd w:val="clear" w:color="auto" w:fill="EEECE1" w:themeFill="background2"/>
            <w:vAlign w:val="center"/>
          </w:tcPr>
          <w:p w14:paraId="5D05D739" w14:textId="756093B1" w:rsidR="003B260F" w:rsidRPr="00CD4F28" w:rsidRDefault="00F16AB4" w:rsidP="00F16AB4">
            <w:pPr>
              <w:pStyle w:val="BodyText"/>
              <w:tabs>
                <w:tab w:val="left" w:pos="0"/>
              </w:tabs>
              <w:spacing w:line="276" w:lineRule="auto"/>
              <w:ind w:right="283"/>
              <w:jc w:val="right"/>
              <w:rPr>
                <w:rFonts w:ascii="Arial" w:hAnsi="Arial" w:cs="Arial"/>
                <w:b/>
                <w:sz w:val="22"/>
                <w:szCs w:val="24"/>
                <w:lang w:val="en-IE"/>
              </w:rPr>
            </w:pPr>
            <w:r w:rsidRPr="00CD4F28">
              <w:rPr>
                <w:rFonts w:ascii="Arial" w:hAnsi="Arial" w:cs="Arial"/>
                <w:b/>
                <w:sz w:val="22"/>
                <w:szCs w:val="24"/>
                <w:lang w:val="en-IE"/>
              </w:rPr>
              <w:t>7</w:t>
            </w:r>
            <w:r>
              <w:rPr>
                <w:rFonts w:ascii="Arial" w:hAnsi="Arial" w:cs="Arial"/>
                <w:b/>
                <w:sz w:val="22"/>
                <w:szCs w:val="24"/>
                <w:lang w:val="en-IE"/>
              </w:rPr>
              <w:t>45</w:t>
            </w:r>
            <w:r w:rsidRPr="00CD4F28">
              <w:rPr>
                <w:rFonts w:ascii="Arial" w:hAnsi="Arial" w:cs="Arial"/>
                <w:b/>
                <w:sz w:val="22"/>
                <w:szCs w:val="24"/>
                <w:lang w:val="en-IE"/>
              </w:rPr>
              <w:t xml:space="preserve"> </w:t>
            </w:r>
            <w:r w:rsidR="003B260F" w:rsidRPr="00CD4F28">
              <w:rPr>
                <w:rFonts w:ascii="Arial" w:hAnsi="Arial" w:cs="Arial"/>
                <w:b/>
                <w:sz w:val="22"/>
                <w:szCs w:val="24"/>
                <w:lang w:val="en-IE"/>
              </w:rPr>
              <w:t>000</w:t>
            </w:r>
          </w:p>
        </w:tc>
      </w:tr>
      <w:tr w:rsidR="003B260F" w:rsidRPr="00CD4F28" w14:paraId="232344DD" w14:textId="77777777" w:rsidTr="0056195E">
        <w:tc>
          <w:tcPr>
            <w:tcW w:w="2198" w:type="dxa"/>
            <w:shd w:val="clear" w:color="auto" w:fill="EEECE1" w:themeFill="background2"/>
          </w:tcPr>
          <w:p w14:paraId="62B67C85" w14:textId="77777777" w:rsidR="003B260F" w:rsidRPr="00CD4F28" w:rsidRDefault="003B260F" w:rsidP="003B260F">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Human Resources (FTE)</w:t>
            </w:r>
          </w:p>
        </w:tc>
        <w:tc>
          <w:tcPr>
            <w:tcW w:w="2488" w:type="dxa"/>
            <w:shd w:val="clear" w:color="auto" w:fill="EEECE1" w:themeFill="background2"/>
          </w:tcPr>
          <w:p w14:paraId="0DD3DBBA" w14:textId="77777777" w:rsidR="003B260F" w:rsidRPr="00CD4F28" w:rsidRDefault="003B260F" w:rsidP="003B260F">
            <w:pPr>
              <w:pStyle w:val="BodyText"/>
              <w:tabs>
                <w:tab w:val="left" w:pos="0"/>
              </w:tabs>
              <w:spacing w:line="276" w:lineRule="auto"/>
              <w:ind w:right="283"/>
              <w:rPr>
                <w:rFonts w:ascii="Arial" w:hAnsi="Arial" w:cs="Arial"/>
                <w:b/>
                <w:sz w:val="22"/>
                <w:szCs w:val="24"/>
                <w:lang w:val="en-IE"/>
              </w:rPr>
            </w:pPr>
          </w:p>
        </w:tc>
        <w:tc>
          <w:tcPr>
            <w:tcW w:w="1299" w:type="dxa"/>
            <w:shd w:val="clear" w:color="auto" w:fill="EEECE1" w:themeFill="background2"/>
          </w:tcPr>
          <w:p w14:paraId="6CC8DCB4" w14:textId="77777777"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p>
        </w:tc>
        <w:tc>
          <w:tcPr>
            <w:tcW w:w="1670" w:type="dxa"/>
            <w:shd w:val="clear" w:color="auto" w:fill="EEECE1" w:themeFill="background2"/>
            <w:vAlign w:val="center"/>
          </w:tcPr>
          <w:p w14:paraId="13A12725" w14:textId="162A3891"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Q1 – Q4</w:t>
            </w:r>
          </w:p>
        </w:tc>
        <w:tc>
          <w:tcPr>
            <w:tcW w:w="1417" w:type="dxa"/>
            <w:shd w:val="clear" w:color="auto" w:fill="EEECE1" w:themeFill="background2"/>
            <w:vAlign w:val="center"/>
          </w:tcPr>
          <w:p w14:paraId="28676F3D" w14:textId="2BDFEF5D" w:rsidR="003B260F" w:rsidRPr="00CD4F28" w:rsidRDefault="003B260F" w:rsidP="003B260F">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3 - 5</w:t>
            </w:r>
          </w:p>
        </w:tc>
      </w:tr>
    </w:tbl>
    <w:p w14:paraId="58CB71F5" w14:textId="77777777" w:rsidR="00B3500A" w:rsidRPr="00CD4F28" w:rsidRDefault="00B3500A" w:rsidP="00A73694">
      <w:pPr>
        <w:pStyle w:val="Heading1"/>
      </w:pPr>
      <w:bookmarkStart w:id="18" w:name="_Toc23423345"/>
      <w:bookmarkStart w:id="19" w:name="_Toc23425448"/>
    </w:p>
    <w:p w14:paraId="691560FF" w14:textId="4F3C49D8" w:rsidR="00B93409" w:rsidRPr="00CD4F28" w:rsidRDefault="00B93409" w:rsidP="00A73694">
      <w:pPr>
        <w:pStyle w:val="Heading1"/>
      </w:pPr>
      <w:bookmarkStart w:id="20" w:name="_Toc40092192"/>
      <w:r w:rsidRPr="00CD4F28">
        <w:t>Other actions</w:t>
      </w:r>
      <w:bookmarkEnd w:id="18"/>
      <w:bookmarkEnd w:id="19"/>
      <w:bookmarkEnd w:id="20"/>
    </w:p>
    <w:p w14:paraId="3CA50E0D" w14:textId="6976A798" w:rsidR="00B93409" w:rsidRPr="00CD4F28" w:rsidRDefault="00B93409" w:rsidP="00A73694">
      <w:pPr>
        <w:pStyle w:val="BodyText"/>
        <w:tabs>
          <w:tab w:val="left" w:pos="0"/>
        </w:tabs>
        <w:spacing w:line="276" w:lineRule="auto"/>
        <w:ind w:right="283"/>
        <w:jc w:val="both"/>
        <w:rPr>
          <w:rFonts w:ascii="Arial" w:hAnsi="Arial" w:cs="Arial"/>
          <w:b/>
          <w:sz w:val="24"/>
          <w:szCs w:val="24"/>
          <w:lang w:val="en-IE"/>
        </w:rPr>
      </w:pPr>
    </w:p>
    <w:p w14:paraId="6F945462" w14:textId="4E0BC976" w:rsidR="006F0BDA" w:rsidRPr="00CD4F28" w:rsidRDefault="00DB183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In 2020, t</w:t>
      </w:r>
      <w:r w:rsidR="00B93409" w:rsidRPr="00CD4F28">
        <w:rPr>
          <w:rFonts w:ascii="Arial" w:hAnsi="Arial" w:cs="Arial"/>
          <w:sz w:val="24"/>
          <w:szCs w:val="24"/>
          <w:lang w:val="en-IE"/>
        </w:rPr>
        <w:t xml:space="preserve">he Authority will undertake preparatory actions on all </w:t>
      </w:r>
      <w:r w:rsidR="00F46334" w:rsidRPr="00CD4F28">
        <w:rPr>
          <w:rFonts w:ascii="Arial" w:hAnsi="Arial" w:cs="Arial"/>
          <w:sz w:val="24"/>
          <w:szCs w:val="24"/>
          <w:lang w:val="en-IE"/>
        </w:rPr>
        <w:t xml:space="preserve">its </w:t>
      </w:r>
      <w:r w:rsidR="00B93409" w:rsidRPr="00CD4F28">
        <w:rPr>
          <w:rFonts w:ascii="Arial" w:hAnsi="Arial" w:cs="Arial"/>
          <w:sz w:val="24"/>
          <w:szCs w:val="24"/>
          <w:lang w:val="en-IE"/>
        </w:rPr>
        <w:t>tasks</w:t>
      </w:r>
      <w:r w:rsidRPr="00CD4F28">
        <w:rPr>
          <w:rFonts w:ascii="Arial" w:hAnsi="Arial" w:cs="Arial"/>
          <w:sz w:val="24"/>
          <w:szCs w:val="24"/>
          <w:lang w:val="en-IE"/>
        </w:rPr>
        <w:t xml:space="preserve"> with a view </w:t>
      </w:r>
      <w:r w:rsidR="00F46334" w:rsidRPr="00CD4F28">
        <w:rPr>
          <w:rFonts w:ascii="Arial" w:hAnsi="Arial" w:cs="Arial"/>
          <w:sz w:val="24"/>
          <w:szCs w:val="24"/>
          <w:lang w:val="en-IE"/>
        </w:rPr>
        <w:t xml:space="preserve">to </w:t>
      </w:r>
      <w:r w:rsidRPr="00CD4F28">
        <w:rPr>
          <w:rFonts w:ascii="Arial" w:hAnsi="Arial" w:cs="Arial"/>
          <w:sz w:val="24"/>
          <w:szCs w:val="24"/>
          <w:lang w:val="en-IE"/>
        </w:rPr>
        <w:t xml:space="preserve">developing </w:t>
      </w:r>
      <w:r w:rsidR="00F46334" w:rsidRPr="00CD4F28">
        <w:rPr>
          <w:rFonts w:ascii="Arial" w:hAnsi="Arial" w:cs="Arial"/>
          <w:sz w:val="24"/>
          <w:szCs w:val="24"/>
          <w:lang w:val="en-IE"/>
        </w:rPr>
        <w:t xml:space="preserve">the foundations for starting operational activities on more areas </w:t>
      </w:r>
      <w:r w:rsidRPr="00CD4F28">
        <w:rPr>
          <w:rFonts w:ascii="Arial" w:hAnsi="Arial" w:cs="Arial"/>
          <w:sz w:val="24"/>
          <w:szCs w:val="24"/>
          <w:lang w:val="en-IE"/>
        </w:rPr>
        <w:t>from 2021</w:t>
      </w:r>
      <w:r w:rsidR="00F46334" w:rsidRPr="00CD4F28">
        <w:rPr>
          <w:rFonts w:ascii="Arial" w:hAnsi="Arial" w:cs="Arial"/>
          <w:sz w:val="24"/>
          <w:szCs w:val="24"/>
          <w:lang w:val="en-IE"/>
        </w:rPr>
        <w:t>, once the Authority reaches</w:t>
      </w:r>
      <w:r w:rsidRPr="00CD4F28">
        <w:rPr>
          <w:rFonts w:ascii="Arial" w:hAnsi="Arial" w:cs="Arial"/>
          <w:sz w:val="24"/>
          <w:szCs w:val="24"/>
          <w:lang w:val="en-IE"/>
        </w:rPr>
        <w:t xml:space="preserve"> adequate staffing </w:t>
      </w:r>
      <w:r w:rsidR="00F46334" w:rsidRPr="00CD4F28">
        <w:rPr>
          <w:rFonts w:ascii="Arial" w:hAnsi="Arial" w:cs="Arial"/>
          <w:sz w:val="24"/>
          <w:szCs w:val="24"/>
          <w:lang w:val="en-IE"/>
        </w:rPr>
        <w:t xml:space="preserve">levels </w:t>
      </w:r>
      <w:r w:rsidRPr="00CD4F28">
        <w:rPr>
          <w:rFonts w:ascii="Arial" w:hAnsi="Arial" w:cs="Arial"/>
          <w:sz w:val="24"/>
          <w:szCs w:val="24"/>
          <w:lang w:val="en-IE"/>
        </w:rPr>
        <w:t>and budgetary resources</w:t>
      </w:r>
      <w:r w:rsidR="00B93409" w:rsidRPr="00CD4F28">
        <w:rPr>
          <w:rFonts w:ascii="Arial" w:hAnsi="Arial" w:cs="Arial"/>
          <w:sz w:val="24"/>
          <w:szCs w:val="24"/>
          <w:lang w:val="en-IE"/>
        </w:rPr>
        <w:t xml:space="preserve">. </w:t>
      </w:r>
    </w:p>
    <w:p w14:paraId="479612E8" w14:textId="77777777" w:rsidR="00F46334" w:rsidRPr="00CD4F28" w:rsidRDefault="00F46334" w:rsidP="00A73694">
      <w:pPr>
        <w:pStyle w:val="BodyText"/>
        <w:tabs>
          <w:tab w:val="left" w:pos="0"/>
        </w:tabs>
        <w:spacing w:line="276" w:lineRule="auto"/>
        <w:ind w:right="283"/>
        <w:jc w:val="both"/>
        <w:rPr>
          <w:rFonts w:ascii="Arial" w:hAnsi="Arial" w:cs="Arial"/>
          <w:sz w:val="24"/>
          <w:szCs w:val="24"/>
          <w:lang w:val="en-IE"/>
        </w:rPr>
      </w:pPr>
    </w:p>
    <w:p w14:paraId="66CE3D98" w14:textId="0B8B06E6" w:rsidR="00A94394" w:rsidRPr="00CD4F28" w:rsidRDefault="00496C71"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Such preparatory actions </w:t>
      </w:r>
      <w:r w:rsidR="00B93409" w:rsidRPr="00CD4F28">
        <w:rPr>
          <w:rFonts w:ascii="Arial" w:hAnsi="Arial" w:cs="Arial"/>
          <w:sz w:val="24"/>
          <w:szCs w:val="24"/>
          <w:lang w:val="en-IE"/>
        </w:rPr>
        <w:t xml:space="preserve">will pursue the following objectives: </w:t>
      </w:r>
    </w:p>
    <w:p w14:paraId="20DB3FC5" w14:textId="336AA437" w:rsidR="00A94394" w:rsidRPr="003B260F" w:rsidRDefault="00B93409" w:rsidP="00D03DF3">
      <w:pPr>
        <w:pStyle w:val="BodyText"/>
        <w:numPr>
          <w:ilvl w:val="0"/>
          <w:numId w:val="15"/>
        </w:numPr>
        <w:tabs>
          <w:tab w:val="left" w:pos="0"/>
        </w:tabs>
        <w:spacing w:line="276" w:lineRule="auto"/>
        <w:ind w:right="283"/>
        <w:jc w:val="both"/>
        <w:rPr>
          <w:rFonts w:ascii="Arial" w:hAnsi="Arial" w:cs="Arial"/>
          <w:sz w:val="24"/>
          <w:szCs w:val="24"/>
          <w:lang w:val="en-IE"/>
        </w:rPr>
      </w:pPr>
      <w:r w:rsidRPr="003B260F">
        <w:rPr>
          <w:rFonts w:ascii="Arial" w:hAnsi="Arial" w:cs="Arial"/>
          <w:sz w:val="24"/>
          <w:szCs w:val="24"/>
          <w:lang w:val="en-IE"/>
        </w:rPr>
        <w:t xml:space="preserve">complying with </w:t>
      </w:r>
      <w:r w:rsidR="00F46334" w:rsidRPr="003B260F">
        <w:rPr>
          <w:rFonts w:ascii="Arial" w:hAnsi="Arial" w:cs="Arial"/>
          <w:sz w:val="24"/>
          <w:szCs w:val="24"/>
          <w:lang w:val="en-IE"/>
        </w:rPr>
        <w:t xml:space="preserve">legal </w:t>
      </w:r>
      <w:r w:rsidRPr="003B260F">
        <w:rPr>
          <w:rFonts w:ascii="Arial" w:hAnsi="Arial" w:cs="Arial"/>
          <w:sz w:val="24"/>
          <w:szCs w:val="24"/>
          <w:lang w:val="en-IE"/>
        </w:rPr>
        <w:t xml:space="preserve">requirements stemming from the Regulation; </w:t>
      </w:r>
    </w:p>
    <w:p w14:paraId="3C04D80B" w14:textId="2AB07C23" w:rsidR="00A94394" w:rsidRPr="003B260F" w:rsidRDefault="00A94394" w:rsidP="00D03DF3">
      <w:pPr>
        <w:pStyle w:val="BodyText"/>
        <w:numPr>
          <w:ilvl w:val="0"/>
          <w:numId w:val="15"/>
        </w:numPr>
        <w:tabs>
          <w:tab w:val="left" w:pos="0"/>
        </w:tabs>
        <w:spacing w:line="276" w:lineRule="auto"/>
        <w:ind w:right="283"/>
        <w:jc w:val="both"/>
        <w:rPr>
          <w:rFonts w:ascii="Arial" w:hAnsi="Arial" w:cs="Arial"/>
          <w:sz w:val="24"/>
          <w:szCs w:val="24"/>
          <w:lang w:val="en-IE"/>
        </w:rPr>
      </w:pPr>
      <w:r w:rsidRPr="003B260F">
        <w:rPr>
          <w:rFonts w:ascii="Arial" w:hAnsi="Arial" w:cs="Arial"/>
          <w:sz w:val="24"/>
          <w:szCs w:val="24"/>
          <w:lang w:val="en-IE"/>
        </w:rPr>
        <w:t>setting up</w:t>
      </w:r>
      <w:r w:rsidR="00B93409" w:rsidRPr="003B260F">
        <w:rPr>
          <w:rFonts w:ascii="Arial" w:hAnsi="Arial" w:cs="Arial"/>
          <w:sz w:val="24"/>
          <w:szCs w:val="24"/>
          <w:lang w:val="en-IE"/>
        </w:rPr>
        <w:t xml:space="preserve"> the necessary arrangements and tools to deploy the tasks over the following years; </w:t>
      </w:r>
    </w:p>
    <w:p w14:paraId="08086DDB" w14:textId="4F970203" w:rsidR="00B93409" w:rsidRPr="003B260F" w:rsidRDefault="00B93409" w:rsidP="00D03DF3">
      <w:pPr>
        <w:pStyle w:val="BodyText"/>
        <w:numPr>
          <w:ilvl w:val="0"/>
          <w:numId w:val="15"/>
        </w:numPr>
        <w:tabs>
          <w:tab w:val="left" w:pos="0"/>
        </w:tabs>
        <w:spacing w:line="276" w:lineRule="auto"/>
        <w:ind w:right="283"/>
        <w:jc w:val="both"/>
        <w:rPr>
          <w:rFonts w:ascii="Arial" w:hAnsi="Arial" w:cs="Arial"/>
          <w:sz w:val="24"/>
          <w:szCs w:val="24"/>
          <w:lang w:val="en-IE"/>
        </w:rPr>
      </w:pPr>
      <w:r w:rsidRPr="003B260F">
        <w:rPr>
          <w:rFonts w:ascii="Arial" w:hAnsi="Arial" w:cs="Arial"/>
          <w:sz w:val="24"/>
          <w:szCs w:val="24"/>
          <w:lang w:val="en-IE"/>
        </w:rPr>
        <w:t xml:space="preserve">developing </w:t>
      </w:r>
      <w:r w:rsidR="00A94394" w:rsidRPr="003B260F">
        <w:rPr>
          <w:rFonts w:ascii="Arial" w:hAnsi="Arial" w:cs="Arial"/>
          <w:sz w:val="24"/>
          <w:szCs w:val="24"/>
          <w:lang w:val="en-IE"/>
        </w:rPr>
        <w:t>complementary</w:t>
      </w:r>
      <w:r w:rsidRPr="003B260F">
        <w:rPr>
          <w:rFonts w:ascii="Arial" w:hAnsi="Arial" w:cs="Arial"/>
          <w:sz w:val="24"/>
          <w:szCs w:val="24"/>
          <w:lang w:val="en-IE"/>
        </w:rPr>
        <w:t xml:space="preserve"> activities to</w:t>
      </w:r>
      <w:r w:rsidR="000C69A5" w:rsidRPr="003B260F">
        <w:rPr>
          <w:rFonts w:ascii="Arial" w:hAnsi="Arial" w:cs="Arial"/>
          <w:sz w:val="24"/>
          <w:szCs w:val="24"/>
          <w:lang w:val="en-IE"/>
        </w:rPr>
        <w:t xml:space="preserve"> support</w:t>
      </w:r>
      <w:r w:rsidRPr="003B260F">
        <w:rPr>
          <w:rFonts w:ascii="Arial" w:hAnsi="Arial" w:cs="Arial"/>
          <w:sz w:val="24"/>
          <w:szCs w:val="24"/>
          <w:lang w:val="en-IE"/>
        </w:rPr>
        <w:t xml:space="preserve"> the implementation of the priority tasks.</w:t>
      </w:r>
    </w:p>
    <w:p w14:paraId="6BD45517" w14:textId="633760F7" w:rsidR="002B4AAD" w:rsidRDefault="002B4AAD" w:rsidP="00A73694">
      <w:pPr>
        <w:pStyle w:val="BodyText"/>
        <w:tabs>
          <w:tab w:val="left" w:pos="0"/>
        </w:tabs>
        <w:spacing w:line="276" w:lineRule="auto"/>
        <w:ind w:left="720" w:right="283"/>
        <w:jc w:val="both"/>
        <w:rPr>
          <w:rFonts w:ascii="Arial" w:hAnsi="Arial" w:cs="Arial"/>
          <w:sz w:val="24"/>
          <w:szCs w:val="24"/>
          <w:lang w:val="en-IE"/>
        </w:rPr>
      </w:pPr>
    </w:p>
    <w:p w14:paraId="5E8FD492" w14:textId="5129D1C8" w:rsidR="00120CC6" w:rsidRDefault="00120CC6" w:rsidP="00A73694">
      <w:pPr>
        <w:pStyle w:val="BodyText"/>
        <w:tabs>
          <w:tab w:val="left" w:pos="0"/>
        </w:tabs>
        <w:spacing w:line="276" w:lineRule="auto"/>
        <w:ind w:left="720" w:right="283"/>
        <w:jc w:val="both"/>
        <w:rPr>
          <w:rFonts w:ascii="Arial" w:hAnsi="Arial" w:cs="Arial"/>
          <w:sz w:val="24"/>
          <w:szCs w:val="24"/>
          <w:lang w:val="en-IE"/>
        </w:rPr>
      </w:pPr>
    </w:p>
    <w:p w14:paraId="4C61CEEE" w14:textId="77777777" w:rsidR="00120CC6" w:rsidRPr="00CD4F28" w:rsidRDefault="00120CC6" w:rsidP="00A73694">
      <w:pPr>
        <w:pStyle w:val="BodyText"/>
        <w:tabs>
          <w:tab w:val="left" w:pos="0"/>
        </w:tabs>
        <w:spacing w:line="276" w:lineRule="auto"/>
        <w:ind w:left="720" w:right="283"/>
        <w:jc w:val="both"/>
        <w:rPr>
          <w:rFonts w:ascii="Arial" w:hAnsi="Arial" w:cs="Arial"/>
          <w:sz w:val="24"/>
          <w:szCs w:val="24"/>
          <w:lang w:val="en-IE"/>
        </w:rPr>
      </w:pPr>
    </w:p>
    <w:p w14:paraId="1387B9D1" w14:textId="262A0877" w:rsidR="00C350B1" w:rsidRPr="00CD4F28" w:rsidRDefault="000C0533" w:rsidP="00A73694">
      <w:pPr>
        <w:pStyle w:val="Heading1"/>
      </w:pPr>
      <w:bookmarkStart w:id="21" w:name="_Toc23423346"/>
      <w:bookmarkStart w:id="22" w:name="_Toc23425449"/>
      <w:bookmarkStart w:id="23" w:name="_Toc40092193"/>
      <w:r>
        <w:t>2.3</w:t>
      </w:r>
      <w:r w:rsidR="003F20FB" w:rsidRPr="00CD4F28">
        <w:t xml:space="preserve"> </w:t>
      </w:r>
      <w:r w:rsidR="00C350B1" w:rsidRPr="00CD4F28">
        <w:t>Cooperation and exchange of information between Member States</w:t>
      </w:r>
      <w:bookmarkEnd w:id="21"/>
      <w:bookmarkEnd w:id="22"/>
      <w:bookmarkEnd w:id="23"/>
    </w:p>
    <w:p w14:paraId="47FFD820" w14:textId="77777777" w:rsidR="00C350B1" w:rsidRPr="00CD4F28" w:rsidRDefault="00C350B1" w:rsidP="00A73694">
      <w:pPr>
        <w:pStyle w:val="BodyText"/>
        <w:tabs>
          <w:tab w:val="left" w:pos="0"/>
        </w:tabs>
        <w:spacing w:line="276" w:lineRule="auto"/>
        <w:ind w:right="283"/>
        <w:jc w:val="both"/>
        <w:rPr>
          <w:rFonts w:ascii="Arial" w:hAnsi="Arial" w:cs="Arial"/>
          <w:b/>
          <w:sz w:val="24"/>
          <w:szCs w:val="24"/>
          <w:lang w:val="en-IE"/>
        </w:rPr>
      </w:pPr>
    </w:p>
    <w:p w14:paraId="7AB1AF44" w14:textId="463F6C20" w:rsidR="00E9091B" w:rsidRPr="00CD4F28" w:rsidRDefault="006F0BDA"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Enhancing the cooperation and exchange of information between Member States across the entire range of labour mobility legislation is a key task for the Authority. </w:t>
      </w:r>
      <w:r w:rsidRPr="00CD4F28">
        <w:rPr>
          <w:rFonts w:ascii="Arial" w:hAnsi="Arial" w:cs="Arial"/>
          <w:sz w:val="24"/>
          <w:szCs w:val="24"/>
          <w:lang w:val="en-IE"/>
        </w:rPr>
        <w:lastRenderedPageBreak/>
        <w:t xml:space="preserve">The role of National Liaison Officers (NLO) will be essential in this respect, because they will provide a physical </w:t>
      </w:r>
      <w:r w:rsidR="008036FE" w:rsidRPr="00CD4F28">
        <w:rPr>
          <w:rFonts w:ascii="Arial" w:hAnsi="Arial" w:cs="Arial"/>
          <w:sz w:val="24"/>
          <w:szCs w:val="24"/>
          <w:lang w:val="en-IE"/>
        </w:rPr>
        <w:t>contact point between the EU level, the home administration and the authorities of other Member States, working shoulder to shoulder with their peers</w:t>
      </w:r>
      <w:r w:rsidR="008D043E" w:rsidRPr="00CD4F28">
        <w:rPr>
          <w:rFonts w:ascii="Arial" w:hAnsi="Arial" w:cs="Arial"/>
          <w:sz w:val="24"/>
          <w:szCs w:val="24"/>
          <w:lang w:val="en-IE"/>
        </w:rPr>
        <w:t xml:space="preserve"> from other countries</w:t>
      </w:r>
      <w:r w:rsidR="00386293" w:rsidRPr="00CD4F28">
        <w:rPr>
          <w:rFonts w:ascii="Arial" w:hAnsi="Arial" w:cs="Arial"/>
          <w:sz w:val="24"/>
          <w:szCs w:val="24"/>
          <w:lang w:val="en-IE"/>
        </w:rPr>
        <w:t xml:space="preserve"> (see box below)</w:t>
      </w:r>
      <w:r w:rsidRPr="00CD4F28">
        <w:rPr>
          <w:rFonts w:ascii="Arial" w:hAnsi="Arial" w:cs="Arial"/>
          <w:sz w:val="24"/>
          <w:szCs w:val="24"/>
          <w:lang w:val="en-IE"/>
        </w:rPr>
        <w:t xml:space="preserve">. </w:t>
      </w:r>
    </w:p>
    <w:p w14:paraId="5C94CE3F" w14:textId="73FB4116" w:rsidR="00357947" w:rsidRPr="00CD4F28" w:rsidRDefault="00357947" w:rsidP="00A73694">
      <w:pPr>
        <w:pStyle w:val="BodyText"/>
        <w:tabs>
          <w:tab w:val="left" w:pos="0"/>
        </w:tabs>
        <w:spacing w:line="276" w:lineRule="auto"/>
        <w:ind w:right="283"/>
        <w:jc w:val="both"/>
        <w:rPr>
          <w:rFonts w:ascii="Arial"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ook w:val="04A0" w:firstRow="1" w:lastRow="0" w:firstColumn="1" w:lastColumn="0" w:noHBand="0" w:noVBand="1"/>
      </w:tblPr>
      <w:tblGrid>
        <w:gridCol w:w="9180"/>
      </w:tblGrid>
      <w:tr w:rsidR="00357947" w:rsidRPr="00CD4F28" w14:paraId="77141FBC" w14:textId="77777777" w:rsidTr="003B260F">
        <w:tc>
          <w:tcPr>
            <w:tcW w:w="9180" w:type="dxa"/>
            <w:shd w:val="clear" w:color="auto" w:fill="F2F2F2" w:themeFill="background1" w:themeFillShade="F2"/>
          </w:tcPr>
          <w:p w14:paraId="57A9E78F" w14:textId="7D8B9029" w:rsidR="00357947" w:rsidRPr="00CD4F28" w:rsidRDefault="00357947" w:rsidP="00A73694">
            <w:pPr>
              <w:tabs>
                <w:tab w:val="left" w:pos="0"/>
              </w:tabs>
              <w:spacing w:line="276" w:lineRule="auto"/>
              <w:ind w:right="283"/>
              <w:jc w:val="both"/>
              <w:rPr>
                <w:rFonts w:ascii="Arial" w:hAnsi="Arial" w:cs="Arial"/>
                <w:sz w:val="24"/>
                <w:szCs w:val="24"/>
                <w:lang w:val="en-IE"/>
              </w:rPr>
            </w:pPr>
            <w:r w:rsidRPr="00CD4F28">
              <w:rPr>
                <w:rFonts w:ascii="Arial" w:hAnsi="Arial" w:cs="Arial"/>
                <w:b/>
                <w:sz w:val="24"/>
                <w:szCs w:val="24"/>
                <w:lang w:val="en-IE"/>
              </w:rPr>
              <w:t>Article 7</w:t>
            </w:r>
            <w:r w:rsidRPr="00CD4F28">
              <w:rPr>
                <w:rFonts w:ascii="Arial" w:hAnsi="Arial" w:cs="Arial"/>
                <w:sz w:val="24"/>
                <w:szCs w:val="24"/>
                <w:lang w:val="en-IE"/>
              </w:rPr>
              <w:t xml:space="preserve"> of the Regulation defines the role of </w:t>
            </w:r>
            <w:r w:rsidR="008D043E" w:rsidRPr="00CD4F28">
              <w:rPr>
                <w:rFonts w:ascii="Arial" w:hAnsi="Arial" w:cs="Arial"/>
                <w:sz w:val="24"/>
                <w:szCs w:val="24"/>
                <w:lang w:val="en-IE"/>
              </w:rPr>
              <w:t xml:space="preserve">the Authority </w:t>
            </w:r>
            <w:r w:rsidRPr="00CD4F28">
              <w:rPr>
                <w:rFonts w:ascii="Arial" w:hAnsi="Arial" w:cs="Arial"/>
                <w:sz w:val="24"/>
                <w:szCs w:val="24"/>
                <w:lang w:val="en-IE"/>
              </w:rPr>
              <w:t xml:space="preserve">in facilitating </w:t>
            </w:r>
            <w:r w:rsidR="008D043E" w:rsidRPr="00CD4F28">
              <w:rPr>
                <w:rFonts w:ascii="Arial" w:hAnsi="Arial" w:cs="Arial"/>
                <w:sz w:val="24"/>
                <w:szCs w:val="24"/>
                <w:lang w:val="en-IE"/>
              </w:rPr>
              <w:t xml:space="preserve">the </w:t>
            </w:r>
            <w:r w:rsidRPr="00CD4F28">
              <w:rPr>
                <w:rFonts w:ascii="Arial" w:hAnsi="Arial" w:cs="Arial"/>
                <w:sz w:val="24"/>
                <w:szCs w:val="24"/>
                <w:lang w:val="en-IE"/>
              </w:rPr>
              <w:t>cooperation and accelerati</w:t>
            </w:r>
            <w:r w:rsidR="008D043E" w:rsidRPr="00CD4F28">
              <w:rPr>
                <w:rFonts w:ascii="Arial" w:hAnsi="Arial" w:cs="Arial"/>
                <w:sz w:val="24"/>
                <w:szCs w:val="24"/>
                <w:lang w:val="en-IE"/>
              </w:rPr>
              <w:t>on of</w:t>
            </w:r>
            <w:r w:rsidRPr="00CD4F28">
              <w:rPr>
                <w:rFonts w:ascii="Arial" w:hAnsi="Arial" w:cs="Arial"/>
                <w:sz w:val="24"/>
                <w:szCs w:val="24"/>
                <w:lang w:val="en-IE"/>
              </w:rPr>
              <w:t xml:space="preserve"> exchange of information between the Member States.</w:t>
            </w:r>
          </w:p>
          <w:p w14:paraId="2C252F45" w14:textId="77777777" w:rsidR="00357947" w:rsidRPr="00CD4F28" w:rsidRDefault="00357947" w:rsidP="00A73694">
            <w:pPr>
              <w:tabs>
                <w:tab w:val="left" w:pos="0"/>
              </w:tabs>
              <w:spacing w:line="276" w:lineRule="auto"/>
              <w:ind w:right="283"/>
              <w:jc w:val="both"/>
              <w:rPr>
                <w:rFonts w:ascii="Arial" w:hAnsi="Arial" w:cs="Arial"/>
                <w:sz w:val="24"/>
                <w:szCs w:val="24"/>
                <w:lang w:val="en-IE"/>
              </w:rPr>
            </w:pPr>
          </w:p>
          <w:p w14:paraId="29932722" w14:textId="6E2665F5" w:rsidR="00357947" w:rsidRPr="00CD4F28" w:rsidRDefault="00357947" w:rsidP="00A73694">
            <w:pPr>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Regulation specifies the following main actions that are expected from </w:t>
            </w:r>
            <w:r w:rsidR="008D043E" w:rsidRPr="00CD4F28">
              <w:rPr>
                <w:rFonts w:ascii="Arial" w:hAnsi="Arial" w:cs="Arial"/>
                <w:sz w:val="24"/>
                <w:szCs w:val="24"/>
                <w:lang w:val="en-IE"/>
              </w:rPr>
              <w:t xml:space="preserve">the Authority </w:t>
            </w:r>
            <w:r w:rsidRPr="00CD4F28">
              <w:rPr>
                <w:rFonts w:ascii="Arial" w:hAnsi="Arial" w:cs="Arial"/>
                <w:sz w:val="24"/>
                <w:szCs w:val="24"/>
                <w:lang w:val="en-IE"/>
              </w:rPr>
              <w:t>for this purpose:</w:t>
            </w:r>
          </w:p>
          <w:p w14:paraId="0D511E9E" w14:textId="77777777"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Support in the identification of relevant contact points in other Member States;</w:t>
            </w:r>
          </w:p>
          <w:p w14:paraId="7C105003" w14:textId="6E2F159E"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Facilitate follow-up to ongoing </w:t>
            </w:r>
            <w:r w:rsidR="00535DE1" w:rsidRPr="00CD4F28">
              <w:rPr>
                <w:rFonts w:ascii="Arial" w:hAnsi="Arial" w:cs="Arial"/>
                <w:sz w:val="24"/>
                <w:szCs w:val="24"/>
                <w:lang w:val="en-IE"/>
              </w:rPr>
              <w:t xml:space="preserve">requests for information, </w:t>
            </w:r>
            <w:r w:rsidRPr="00CD4F28">
              <w:rPr>
                <w:rFonts w:ascii="Arial" w:hAnsi="Arial" w:cs="Arial"/>
                <w:sz w:val="24"/>
                <w:szCs w:val="24"/>
                <w:lang w:val="en-IE"/>
              </w:rPr>
              <w:t>by provi</w:t>
            </w:r>
            <w:r w:rsidR="00535DE1" w:rsidRPr="00CD4F28">
              <w:rPr>
                <w:rFonts w:ascii="Arial" w:hAnsi="Arial" w:cs="Arial"/>
                <w:sz w:val="24"/>
                <w:szCs w:val="24"/>
                <w:lang w:val="en-IE"/>
              </w:rPr>
              <w:t>ding</w:t>
            </w:r>
            <w:r w:rsidRPr="00CD4F28">
              <w:rPr>
                <w:rFonts w:ascii="Arial" w:hAnsi="Arial" w:cs="Arial"/>
                <w:sz w:val="24"/>
                <w:szCs w:val="24"/>
                <w:lang w:val="en-IE"/>
              </w:rPr>
              <w:t xml:space="preserve"> logistical and technical support (including translation</w:t>
            </w:r>
            <w:r w:rsidR="00535DE1" w:rsidRPr="00CD4F28">
              <w:rPr>
                <w:rFonts w:ascii="Arial" w:hAnsi="Arial" w:cs="Arial"/>
                <w:sz w:val="24"/>
                <w:szCs w:val="24"/>
                <w:lang w:val="en-IE"/>
              </w:rPr>
              <w:t xml:space="preserve"> or </w:t>
            </w:r>
            <w:r w:rsidRPr="00CD4F28">
              <w:rPr>
                <w:rFonts w:ascii="Arial" w:hAnsi="Arial" w:cs="Arial"/>
                <w:sz w:val="24"/>
                <w:szCs w:val="24"/>
                <w:lang w:val="en-IE"/>
              </w:rPr>
              <w:t>interpretation</w:t>
            </w:r>
            <w:r w:rsidR="00535DE1" w:rsidRPr="00CD4F28">
              <w:rPr>
                <w:rFonts w:ascii="Arial" w:hAnsi="Arial" w:cs="Arial"/>
                <w:sz w:val="24"/>
                <w:szCs w:val="24"/>
                <w:lang w:val="en-IE"/>
              </w:rPr>
              <w:t>; exchanges on the status of cases</w:t>
            </w:r>
            <w:r w:rsidRPr="00CD4F28">
              <w:rPr>
                <w:rFonts w:ascii="Arial" w:hAnsi="Arial" w:cs="Arial"/>
                <w:sz w:val="24"/>
                <w:szCs w:val="24"/>
                <w:lang w:val="en-IE"/>
              </w:rPr>
              <w:t>);</w:t>
            </w:r>
          </w:p>
          <w:p w14:paraId="18DA8146" w14:textId="77777777"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Promote and disseminate best practices;</w:t>
            </w:r>
          </w:p>
          <w:p w14:paraId="119E096A" w14:textId="1F5D42C4"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Facilitate the enforcement </w:t>
            </w:r>
            <w:r w:rsidR="00535DE1" w:rsidRPr="00CD4F28">
              <w:rPr>
                <w:rFonts w:ascii="Arial" w:hAnsi="Arial" w:cs="Arial"/>
                <w:sz w:val="24"/>
                <w:szCs w:val="24"/>
                <w:lang w:val="en-IE"/>
              </w:rPr>
              <w:t xml:space="preserve">procedures relating to </w:t>
            </w:r>
            <w:r w:rsidRPr="00CD4F28">
              <w:rPr>
                <w:rFonts w:ascii="Arial" w:hAnsi="Arial" w:cs="Arial"/>
                <w:sz w:val="24"/>
                <w:szCs w:val="24"/>
                <w:lang w:val="en-IE"/>
              </w:rPr>
              <w:t>penalties and fines;</w:t>
            </w:r>
          </w:p>
          <w:p w14:paraId="6AC8EE97" w14:textId="246F7632"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Report to the Commission twice a year about unresolved cases, refer them to mediation where necessary.</w:t>
            </w:r>
          </w:p>
          <w:p w14:paraId="3975F50B" w14:textId="57D71020" w:rsidR="00357947" w:rsidRPr="00CD4F28" w:rsidRDefault="00357947" w:rsidP="00A73694">
            <w:pPr>
              <w:tabs>
                <w:tab w:val="left" w:pos="0"/>
              </w:tabs>
              <w:adjustRightInd w:val="0"/>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In addition, </w:t>
            </w:r>
            <w:r w:rsidR="00535DE1" w:rsidRPr="00CD4F28">
              <w:rPr>
                <w:rFonts w:ascii="Arial" w:hAnsi="Arial" w:cs="Arial"/>
                <w:sz w:val="24"/>
                <w:szCs w:val="24"/>
                <w:lang w:val="en-IE"/>
              </w:rPr>
              <w:t xml:space="preserve">the Authority </w:t>
            </w:r>
            <w:r w:rsidRPr="00CD4F28">
              <w:rPr>
                <w:rFonts w:ascii="Arial" w:hAnsi="Arial" w:cs="Arial"/>
                <w:sz w:val="24"/>
                <w:szCs w:val="24"/>
                <w:lang w:val="en-IE"/>
              </w:rPr>
              <w:t>is expected to:</w:t>
            </w:r>
          </w:p>
          <w:p w14:paraId="7D4666E8" w14:textId="7276734E"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provide information to</w:t>
            </w:r>
            <w:r w:rsidR="00535DE1" w:rsidRPr="00CD4F28">
              <w:rPr>
                <w:rFonts w:ascii="Arial" w:hAnsi="Arial" w:cs="Arial"/>
                <w:sz w:val="24"/>
                <w:szCs w:val="24"/>
                <w:lang w:val="en-IE"/>
              </w:rPr>
              <w:t xml:space="preserve"> </w:t>
            </w:r>
            <w:r w:rsidR="000A5DAE" w:rsidRPr="00CD4F28">
              <w:rPr>
                <w:rFonts w:ascii="Arial" w:hAnsi="Arial" w:cs="Arial"/>
                <w:sz w:val="24"/>
                <w:szCs w:val="24"/>
                <w:lang w:val="en-IE"/>
              </w:rPr>
              <w:t>support</w:t>
            </w:r>
            <w:r w:rsidRPr="00CD4F28">
              <w:rPr>
                <w:rFonts w:ascii="Arial" w:hAnsi="Arial" w:cs="Arial"/>
                <w:sz w:val="24"/>
                <w:szCs w:val="24"/>
                <w:lang w:val="en-IE"/>
              </w:rPr>
              <w:t xml:space="preserve"> national authorities on the effective application of EU mobility legislation;</w:t>
            </w:r>
          </w:p>
          <w:p w14:paraId="10E6D02A" w14:textId="58525F5A"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promote the use of electronic tools</w:t>
            </w:r>
            <w:r w:rsidR="000A5DAE" w:rsidRPr="00CD4F28">
              <w:rPr>
                <w:rFonts w:ascii="Arial" w:hAnsi="Arial" w:cs="Arial"/>
                <w:sz w:val="24"/>
                <w:szCs w:val="24"/>
                <w:lang w:val="en-IE"/>
              </w:rPr>
              <w:t xml:space="preserve"> and procedures</w:t>
            </w:r>
            <w:r w:rsidRPr="00CD4F28">
              <w:rPr>
                <w:rFonts w:ascii="Arial" w:hAnsi="Arial" w:cs="Arial"/>
                <w:sz w:val="24"/>
                <w:szCs w:val="24"/>
                <w:lang w:val="en-IE"/>
              </w:rPr>
              <w:t xml:space="preserve"> for message exchange (such as IMI);</w:t>
            </w:r>
          </w:p>
          <w:p w14:paraId="5B5C1811" w14:textId="70927AEE"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encourage the use of innovative approaches to cooperation and promote the use of electronic </w:t>
            </w:r>
            <w:r w:rsidR="000A5DAE" w:rsidRPr="00CD4F28">
              <w:rPr>
                <w:rFonts w:ascii="Arial" w:hAnsi="Arial" w:cs="Arial"/>
                <w:sz w:val="24"/>
                <w:szCs w:val="24"/>
                <w:lang w:val="en-IE"/>
              </w:rPr>
              <w:t xml:space="preserve">exchange mechanisms </w:t>
            </w:r>
            <w:r w:rsidRPr="00CD4F28">
              <w:rPr>
                <w:rFonts w:ascii="Arial" w:hAnsi="Arial" w:cs="Arial"/>
                <w:sz w:val="24"/>
                <w:szCs w:val="24"/>
                <w:lang w:val="en-IE"/>
              </w:rPr>
              <w:t>and databases.</w:t>
            </w:r>
          </w:p>
        </w:tc>
      </w:tr>
    </w:tbl>
    <w:p w14:paraId="3BB6562E" w14:textId="7A8891D7" w:rsidR="0068460C" w:rsidRPr="00CD4F28" w:rsidRDefault="0068460C" w:rsidP="00A73694">
      <w:pPr>
        <w:pStyle w:val="BodyText"/>
        <w:tabs>
          <w:tab w:val="left" w:pos="0"/>
        </w:tabs>
        <w:spacing w:line="276" w:lineRule="auto"/>
        <w:ind w:right="283"/>
        <w:jc w:val="both"/>
        <w:rPr>
          <w:rFonts w:ascii="Arial" w:hAnsi="Arial" w:cs="Arial"/>
          <w:sz w:val="24"/>
          <w:szCs w:val="24"/>
          <w:lang w:val="en-IE"/>
        </w:rPr>
      </w:pPr>
    </w:p>
    <w:p w14:paraId="3F00D58F" w14:textId="5E11F1C8" w:rsidR="00F26111" w:rsidRPr="00CD4F28" w:rsidRDefault="00F26111" w:rsidP="00A73694">
      <w:pPr>
        <w:pStyle w:val="BodyText"/>
        <w:tabs>
          <w:tab w:val="left" w:pos="0"/>
        </w:tabs>
        <w:spacing w:line="276" w:lineRule="auto"/>
        <w:ind w:right="283"/>
        <w:jc w:val="both"/>
        <w:rPr>
          <w:rFonts w:ascii="Arial" w:hAnsi="Arial" w:cs="Arial"/>
          <w:sz w:val="24"/>
          <w:szCs w:val="24"/>
          <w:u w:val="single"/>
          <w:lang w:val="en-IE"/>
        </w:rPr>
      </w:pPr>
      <w:r w:rsidRPr="00CD4F28">
        <w:rPr>
          <w:rFonts w:ascii="Arial" w:hAnsi="Arial" w:cs="Arial"/>
          <w:sz w:val="24"/>
          <w:szCs w:val="24"/>
          <w:u w:val="single"/>
          <w:lang w:val="en-IE"/>
        </w:rPr>
        <w:t>Key objective</w:t>
      </w:r>
    </w:p>
    <w:p w14:paraId="1EECC9E6" w14:textId="77777777" w:rsidR="00B133F8" w:rsidRPr="00CD4F28" w:rsidRDefault="00B133F8" w:rsidP="00A73694">
      <w:pPr>
        <w:pStyle w:val="BodyText"/>
        <w:tabs>
          <w:tab w:val="left" w:pos="0"/>
        </w:tabs>
        <w:spacing w:line="276" w:lineRule="auto"/>
        <w:ind w:right="283"/>
        <w:jc w:val="both"/>
        <w:rPr>
          <w:rFonts w:ascii="Arial" w:hAnsi="Arial" w:cs="Arial"/>
          <w:sz w:val="24"/>
          <w:szCs w:val="24"/>
          <w:lang w:val="en-IE"/>
        </w:rPr>
      </w:pPr>
    </w:p>
    <w:p w14:paraId="1EB87D0F" w14:textId="21D2B9B4" w:rsidR="00386293" w:rsidRPr="00CD4F28" w:rsidRDefault="00B133F8"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Developing adequate support tools for the operability of National Liaison Officers, upon their joining the Authority</w:t>
      </w:r>
      <w:r w:rsidR="00CB79B6" w:rsidRPr="00CD4F28">
        <w:rPr>
          <w:rFonts w:ascii="Arial" w:hAnsi="Arial" w:cs="Arial"/>
          <w:sz w:val="24"/>
          <w:szCs w:val="24"/>
          <w:lang w:val="en-IE"/>
        </w:rPr>
        <w:t xml:space="preserve">. </w:t>
      </w:r>
    </w:p>
    <w:p w14:paraId="276D64A6" w14:textId="28A7B9D7" w:rsidR="00386293" w:rsidRPr="00CD4F28" w:rsidRDefault="00386293" w:rsidP="00A73694">
      <w:pPr>
        <w:pStyle w:val="BodyText"/>
        <w:tabs>
          <w:tab w:val="left" w:pos="0"/>
        </w:tabs>
        <w:spacing w:line="276" w:lineRule="auto"/>
        <w:ind w:right="283"/>
        <w:rPr>
          <w:rFonts w:ascii="Arial" w:hAnsi="Arial" w:cs="Arial"/>
          <w:b/>
          <w:sz w:val="24"/>
          <w:szCs w:val="24"/>
          <w:lang w:val="en-IE"/>
        </w:rPr>
      </w:pPr>
    </w:p>
    <w:p w14:paraId="1D6C13FA" w14:textId="41938B60" w:rsidR="00B133F8" w:rsidRPr="00CD4F28" w:rsidRDefault="003B260F" w:rsidP="00A73694">
      <w:pPr>
        <w:pStyle w:val="BodyText"/>
        <w:tabs>
          <w:tab w:val="left" w:pos="0"/>
        </w:tabs>
        <w:spacing w:line="276" w:lineRule="auto"/>
        <w:ind w:right="283"/>
        <w:rPr>
          <w:rFonts w:ascii="Arial" w:hAnsi="Arial" w:cs="Arial"/>
          <w:sz w:val="24"/>
          <w:szCs w:val="24"/>
          <w:u w:val="single"/>
          <w:lang w:val="en-IE"/>
        </w:rPr>
      </w:pPr>
      <w:r>
        <w:rPr>
          <w:rFonts w:ascii="Arial" w:hAnsi="Arial" w:cs="Arial"/>
          <w:sz w:val="24"/>
          <w:szCs w:val="24"/>
          <w:u w:val="single"/>
          <w:lang w:val="en-IE"/>
        </w:rPr>
        <w:t>Main actions and outputs</w:t>
      </w:r>
      <w:r w:rsidR="001D0405" w:rsidRPr="00CD4F28">
        <w:rPr>
          <w:rFonts w:ascii="Arial" w:hAnsi="Arial" w:cs="Arial"/>
          <w:sz w:val="24"/>
          <w:szCs w:val="24"/>
          <w:u w:val="single"/>
          <w:lang w:val="en-IE"/>
        </w:rPr>
        <w:t xml:space="preserve"> </w:t>
      </w:r>
    </w:p>
    <w:p w14:paraId="245C6C97" w14:textId="77777777" w:rsidR="00B133F8" w:rsidRPr="00CD4F28" w:rsidRDefault="00B133F8" w:rsidP="00A73694">
      <w:pPr>
        <w:pStyle w:val="BodyText"/>
        <w:tabs>
          <w:tab w:val="left" w:pos="0"/>
        </w:tabs>
        <w:spacing w:line="276" w:lineRule="auto"/>
        <w:ind w:right="283"/>
        <w:rPr>
          <w:rFonts w:ascii="Arial" w:hAnsi="Arial" w:cs="Arial"/>
          <w:b/>
          <w:sz w:val="24"/>
          <w:szCs w:val="24"/>
          <w:lang w:val="en-IE"/>
        </w:rPr>
      </w:pPr>
    </w:p>
    <w:p w14:paraId="6D4F6B4B" w14:textId="38F6BAE6" w:rsidR="00A03501" w:rsidRPr="00CD4F28" w:rsidRDefault="000C0533" w:rsidP="000C0533">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 xml:space="preserve">2.3.1 </w:t>
      </w:r>
      <w:r w:rsidR="00A03501" w:rsidRPr="00CD4F28">
        <w:rPr>
          <w:rFonts w:ascii="Arial" w:hAnsi="Arial" w:cs="Arial"/>
          <w:b/>
          <w:sz w:val="24"/>
          <w:szCs w:val="24"/>
          <w:lang w:val="en-IE"/>
        </w:rPr>
        <w:t>Creating a directory of national contact points</w:t>
      </w:r>
    </w:p>
    <w:p w14:paraId="1AD40560" w14:textId="77777777" w:rsidR="00A03501" w:rsidRPr="00CD4F28" w:rsidRDefault="00A03501" w:rsidP="00A73694">
      <w:pPr>
        <w:pStyle w:val="BodyText"/>
        <w:tabs>
          <w:tab w:val="left" w:pos="0"/>
        </w:tabs>
        <w:spacing w:line="276" w:lineRule="auto"/>
        <w:ind w:right="283"/>
        <w:rPr>
          <w:rFonts w:ascii="Arial" w:hAnsi="Arial" w:cs="Arial"/>
          <w:b/>
          <w:sz w:val="24"/>
          <w:szCs w:val="24"/>
          <w:lang w:val="en-IE"/>
        </w:rPr>
      </w:pPr>
    </w:p>
    <w:p w14:paraId="52DEE15B" w14:textId="03D8994B" w:rsidR="00A03501" w:rsidRPr="00CD4F28" w:rsidRDefault="00A03501"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With a view on facilitating the identification of the relevant contact </w:t>
      </w:r>
      <w:r w:rsidR="000C69A5" w:rsidRPr="00CD4F28">
        <w:rPr>
          <w:rFonts w:ascii="Arial" w:hAnsi="Arial" w:cs="Arial"/>
          <w:sz w:val="24"/>
          <w:szCs w:val="24"/>
          <w:lang w:val="en-IE"/>
        </w:rPr>
        <w:t>points for national authorities and</w:t>
      </w:r>
      <w:r w:rsidRPr="00CD4F28">
        <w:rPr>
          <w:rFonts w:ascii="Arial" w:hAnsi="Arial" w:cs="Arial"/>
          <w:sz w:val="24"/>
          <w:szCs w:val="24"/>
          <w:lang w:val="en-IE"/>
        </w:rPr>
        <w:t xml:space="preserve"> National Liaison Officers, the Authority will develop a directory of contact points (“who-is-who”) to all relevant national institutions in the labour mobility areas covered by its scope. The list will include the relevant social partners. The directory </w:t>
      </w:r>
      <w:r w:rsidR="00CA65FA" w:rsidRPr="00CD4F28">
        <w:rPr>
          <w:rFonts w:ascii="Arial" w:hAnsi="Arial" w:cs="Arial"/>
          <w:sz w:val="24"/>
          <w:szCs w:val="24"/>
          <w:lang w:val="en-IE"/>
        </w:rPr>
        <w:t>is intended f</w:t>
      </w:r>
      <w:r w:rsidRPr="00CD4F28">
        <w:rPr>
          <w:rFonts w:ascii="Arial" w:hAnsi="Arial" w:cs="Arial"/>
          <w:sz w:val="24"/>
          <w:szCs w:val="24"/>
          <w:lang w:val="en-IE"/>
        </w:rPr>
        <w:t>or internal use only</w:t>
      </w:r>
      <w:r w:rsidR="00C1232C">
        <w:rPr>
          <w:rFonts w:ascii="Arial" w:hAnsi="Arial" w:cs="Arial"/>
          <w:sz w:val="24"/>
          <w:szCs w:val="24"/>
          <w:lang w:val="en-IE"/>
        </w:rPr>
        <w:t xml:space="preserve"> within the Authority, including staff, </w:t>
      </w:r>
      <w:r w:rsidR="00C1232C">
        <w:rPr>
          <w:rFonts w:ascii="Arial" w:hAnsi="Arial" w:cs="Arial"/>
          <w:sz w:val="24"/>
          <w:szCs w:val="24"/>
          <w:lang w:val="en-IE"/>
        </w:rPr>
        <w:lastRenderedPageBreak/>
        <w:t xml:space="preserve">Management </w:t>
      </w:r>
      <w:r w:rsidR="004B0155">
        <w:rPr>
          <w:rFonts w:ascii="Arial" w:hAnsi="Arial" w:cs="Arial"/>
          <w:sz w:val="24"/>
          <w:szCs w:val="24"/>
          <w:lang w:val="en-IE"/>
        </w:rPr>
        <w:t xml:space="preserve">Board </w:t>
      </w:r>
      <w:r w:rsidR="00C1232C">
        <w:rPr>
          <w:rFonts w:ascii="Arial" w:hAnsi="Arial" w:cs="Arial"/>
          <w:sz w:val="24"/>
          <w:szCs w:val="24"/>
          <w:lang w:val="en-IE"/>
        </w:rPr>
        <w:t>and Stakeholders Group members</w:t>
      </w:r>
      <w:r w:rsidRPr="00CD4F28">
        <w:rPr>
          <w:rFonts w:ascii="Arial" w:hAnsi="Arial" w:cs="Arial"/>
          <w:sz w:val="24"/>
          <w:szCs w:val="24"/>
          <w:lang w:val="en-IE"/>
        </w:rPr>
        <w:t>.</w:t>
      </w:r>
    </w:p>
    <w:p w14:paraId="64DC6309" w14:textId="77777777" w:rsidR="00A03501" w:rsidRPr="00CD4F28" w:rsidRDefault="00A03501" w:rsidP="00A73694">
      <w:pPr>
        <w:pStyle w:val="BodyText"/>
        <w:tabs>
          <w:tab w:val="left" w:pos="0"/>
        </w:tabs>
        <w:spacing w:line="276" w:lineRule="auto"/>
        <w:ind w:right="283"/>
        <w:jc w:val="both"/>
        <w:rPr>
          <w:rFonts w:ascii="Arial" w:hAnsi="Arial" w:cs="Arial"/>
          <w:b/>
          <w:sz w:val="24"/>
          <w:szCs w:val="24"/>
          <w:lang w:val="en-IE"/>
        </w:rPr>
      </w:pPr>
    </w:p>
    <w:p w14:paraId="69A4485A" w14:textId="215164DD" w:rsidR="00A03501" w:rsidRPr="00CD4F28" w:rsidRDefault="000C0533" w:rsidP="000C0533">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 xml:space="preserve">2.3.2 </w:t>
      </w:r>
      <w:r w:rsidR="00A03501" w:rsidRPr="00CD4F28">
        <w:rPr>
          <w:rFonts w:ascii="Arial" w:hAnsi="Arial" w:cs="Arial"/>
          <w:b/>
          <w:sz w:val="24"/>
          <w:szCs w:val="24"/>
          <w:lang w:val="en-IE"/>
        </w:rPr>
        <w:t>Training of National Liaison Officers</w:t>
      </w:r>
    </w:p>
    <w:p w14:paraId="5E789F0D" w14:textId="77777777" w:rsidR="00A03501" w:rsidRPr="00CD4F28" w:rsidRDefault="00A03501" w:rsidP="00A73694">
      <w:pPr>
        <w:pStyle w:val="BodyText"/>
        <w:tabs>
          <w:tab w:val="left" w:pos="0"/>
        </w:tabs>
        <w:spacing w:line="276" w:lineRule="auto"/>
        <w:ind w:right="283"/>
        <w:jc w:val="both"/>
        <w:rPr>
          <w:rFonts w:ascii="Arial" w:hAnsi="Arial" w:cs="Arial"/>
          <w:b/>
          <w:sz w:val="24"/>
          <w:szCs w:val="24"/>
          <w:lang w:val="en-IE"/>
        </w:rPr>
      </w:pPr>
    </w:p>
    <w:p w14:paraId="547AA750" w14:textId="31C631FF" w:rsidR="00A03501" w:rsidRPr="00CD4F28" w:rsidRDefault="00A03501"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In the context of this task, the training of National Liaison Officers on EU labour mobility legislation, processes and tools will be key. Such training will be provided in the context of the training which the Authority will offer to its staff. </w:t>
      </w:r>
    </w:p>
    <w:p w14:paraId="3B198CCD" w14:textId="77777777" w:rsidR="00A03501" w:rsidRPr="00CD4F28" w:rsidRDefault="00A03501" w:rsidP="00A73694">
      <w:pPr>
        <w:pStyle w:val="BodyText"/>
        <w:tabs>
          <w:tab w:val="left" w:pos="0"/>
        </w:tabs>
        <w:spacing w:line="276" w:lineRule="auto"/>
        <w:ind w:right="283"/>
        <w:jc w:val="both"/>
        <w:rPr>
          <w:rFonts w:ascii="Arial" w:hAnsi="Arial" w:cs="Arial"/>
          <w:sz w:val="24"/>
          <w:szCs w:val="24"/>
          <w:lang w:val="en-IE"/>
        </w:rPr>
      </w:pPr>
    </w:p>
    <w:p w14:paraId="0C2A9160" w14:textId="1E685299" w:rsidR="00B133F8" w:rsidRPr="00CD4F28" w:rsidRDefault="000C0533" w:rsidP="000C0533">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 xml:space="preserve">2.3.3 </w:t>
      </w:r>
      <w:r w:rsidR="00B133F8" w:rsidRPr="00CD4F28">
        <w:rPr>
          <w:rFonts w:ascii="Arial" w:hAnsi="Arial" w:cs="Arial"/>
          <w:b/>
          <w:sz w:val="24"/>
          <w:szCs w:val="24"/>
          <w:lang w:val="en-IE"/>
        </w:rPr>
        <w:t xml:space="preserve">Developing a </w:t>
      </w:r>
      <w:r w:rsidR="00A03501" w:rsidRPr="00CD4F28">
        <w:rPr>
          <w:rFonts w:ascii="Arial" w:hAnsi="Arial" w:cs="Arial"/>
          <w:b/>
          <w:sz w:val="24"/>
          <w:szCs w:val="24"/>
          <w:lang w:val="en-IE"/>
        </w:rPr>
        <w:t>collaborative space for secure information</w:t>
      </w:r>
      <w:r w:rsidR="006842B7" w:rsidRPr="00CD4F28">
        <w:rPr>
          <w:rFonts w:ascii="Arial" w:hAnsi="Arial" w:cs="Arial"/>
          <w:b/>
          <w:sz w:val="24"/>
          <w:szCs w:val="24"/>
          <w:lang w:val="en-IE"/>
        </w:rPr>
        <w:t xml:space="preserve"> sharing</w:t>
      </w:r>
    </w:p>
    <w:p w14:paraId="34C69776" w14:textId="2EC94B06" w:rsidR="00B133F8" w:rsidRPr="00CD4F28" w:rsidRDefault="00B133F8" w:rsidP="00A73694">
      <w:pPr>
        <w:pStyle w:val="BodyText"/>
        <w:tabs>
          <w:tab w:val="left" w:pos="0"/>
        </w:tabs>
        <w:spacing w:line="276" w:lineRule="auto"/>
        <w:ind w:right="283"/>
        <w:rPr>
          <w:rFonts w:ascii="Arial" w:hAnsi="Arial" w:cs="Arial"/>
          <w:sz w:val="24"/>
          <w:szCs w:val="24"/>
          <w:lang w:val="en-IE"/>
        </w:rPr>
      </w:pPr>
    </w:p>
    <w:p w14:paraId="19EA9F89" w14:textId="23FA73A3" w:rsidR="00981F78" w:rsidRPr="00CD4F28" w:rsidRDefault="006842B7"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Authority w</w:t>
      </w:r>
      <w:r w:rsidR="00216D3C" w:rsidRPr="00CD4F28">
        <w:rPr>
          <w:rFonts w:ascii="Arial" w:hAnsi="Arial" w:cs="Arial"/>
          <w:sz w:val="24"/>
          <w:szCs w:val="24"/>
          <w:lang w:val="en-IE"/>
        </w:rPr>
        <w:t>ill prepare</w:t>
      </w:r>
      <w:r w:rsidRPr="00CD4F28">
        <w:rPr>
          <w:rFonts w:ascii="Arial" w:hAnsi="Arial" w:cs="Arial"/>
          <w:sz w:val="24"/>
          <w:szCs w:val="24"/>
          <w:lang w:val="en-IE"/>
        </w:rPr>
        <w:t xml:space="preserve"> a collaborative space for secure sharing of information to facilitate the work of its staff, and notably of National Liaison Officers.</w:t>
      </w:r>
    </w:p>
    <w:p w14:paraId="04E7619F" w14:textId="0F6DC0E1" w:rsidR="00981F78" w:rsidRPr="00CD4F28" w:rsidRDefault="00981F78" w:rsidP="00A73694">
      <w:pPr>
        <w:pStyle w:val="BodyText"/>
        <w:tabs>
          <w:tab w:val="left" w:pos="0"/>
        </w:tabs>
        <w:spacing w:line="276" w:lineRule="auto"/>
        <w:ind w:right="283"/>
        <w:jc w:val="both"/>
        <w:rPr>
          <w:rFonts w:ascii="Arial" w:hAnsi="Arial" w:cs="Arial"/>
          <w:sz w:val="24"/>
          <w:szCs w:val="24"/>
          <w:lang w:val="en-IE"/>
        </w:rPr>
      </w:pPr>
    </w:p>
    <w:p w14:paraId="4C876F50" w14:textId="0B125EB7" w:rsidR="001D0405" w:rsidRPr="00CD4F28" w:rsidRDefault="00A03501" w:rsidP="00A73694">
      <w:pPr>
        <w:pStyle w:val="Heading1"/>
      </w:pPr>
      <w:bookmarkStart w:id="24" w:name="_Toc23423347"/>
      <w:bookmarkStart w:id="25" w:name="_Toc23425450"/>
      <w:bookmarkStart w:id="26" w:name="_Toc40092194"/>
      <w:r w:rsidRPr="00CD4F28">
        <w:t>2</w:t>
      </w:r>
      <w:r w:rsidR="006C1D5D" w:rsidRPr="00CD4F28">
        <w:t>.</w:t>
      </w:r>
      <w:r w:rsidR="000C0533">
        <w:t>4</w:t>
      </w:r>
      <w:r w:rsidR="006C1D5D" w:rsidRPr="00CD4F28">
        <w:t xml:space="preserve"> </w:t>
      </w:r>
      <w:r w:rsidR="00CB79B6" w:rsidRPr="00CD4F28">
        <w:t>Labour mobility a</w:t>
      </w:r>
      <w:r w:rsidR="00C350B1" w:rsidRPr="00CD4F28">
        <w:t>nalyses and risk assessment</w:t>
      </w:r>
      <w:bookmarkEnd w:id="24"/>
      <w:bookmarkEnd w:id="25"/>
      <w:bookmarkEnd w:id="26"/>
    </w:p>
    <w:p w14:paraId="15DBB865" w14:textId="6DE1C10B" w:rsidR="00C350B1" w:rsidRPr="00CD4F28" w:rsidRDefault="00C350B1" w:rsidP="00A73694">
      <w:pPr>
        <w:rPr>
          <w:rFonts w:ascii="Arial" w:hAnsi="Arial" w:cs="Arial"/>
          <w:sz w:val="24"/>
          <w:szCs w:val="24"/>
          <w:lang w:val="en-IE" w:bidi="ar-SA"/>
        </w:rPr>
      </w:pPr>
    </w:p>
    <w:p w14:paraId="08B7C0BB" w14:textId="2DC81C83" w:rsidR="00585BE3" w:rsidRPr="00CD4F28" w:rsidRDefault="00CB79B6"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Article 10 of the Regulation specifies that the Authority shall assess risks and carry out analyses regarding labour mobility and social security coordination</w:t>
      </w:r>
      <w:r w:rsidR="00893F99" w:rsidRPr="00CD4F28">
        <w:rPr>
          <w:rFonts w:ascii="Arial" w:hAnsi="Arial" w:cs="Arial"/>
          <w:sz w:val="24"/>
          <w:szCs w:val="24"/>
          <w:lang w:val="en-IE"/>
        </w:rPr>
        <w:t xml:space="preserve"> (see box below)</w:t>
      </w:r>
      <w:r w:rsidR="00585BE3" w:rsidRPr="00CD4F28">
        <w:rPr>
          <w:rFonts w:ascii="Arial" w:hAnsi="Arial" w:cs="Arial"/>
          <w:sz w:val="24"/>
          <w:szCs w:val="24"/>
          <w:lang w:val="en-IE"/>
        </w:rPr>
        <w:t xml:space="preserve">. </w:t>
      </w:r>
    </w:p>
    <w:p w14:paraId="6B3A4C3E" w14:textId="4F910A88" w:rsidR="0068460C" w:rsidRPr="00CD4F28" w:rsidRDefault="0068460C" w:rsidP="00A73694">
      <w:pPr>
        <w:pStyle w:val="BodyText"/>
        <w:tabs>
          <w:tab w:val="left" w:pos="0"/>
        </w:tabs>
        <w:spacing w:line="276" w:lineRule="auto"/>
        <w:ind w:right="283"/>
        <w:rPr>
          <w:rFonts w:ascii="Arial"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ook w:val="04A0" w:firstRow="1" w:lastRow="0" w:firstColumn="1" w:lastColumn="0" w:noHBand="0" w:noVBand="1"/>
      </w:tblPr>
      <w:tblGrid>
        <w:gridCol w:w="9180"/>
      </w:tblGrid>
      <w:tr w:rsidR="00357947" w:rsidRPr="00CD4F28" w14:paraId="4F5B7704" w14:textId="77777777" w:rsidTr="003B260F">
        <w:tc>
          <w:tcPr>
            <w:tcW w:w="9180" w:type="dxa"/>
            <w:shd w:val="clear" w:color="auto" w:fill="F2F2F2" w:themeFill="background1" w:themeFillShade="F2"/>
          </w:tcPr>
          <w:p w14:paraId="35914833" w14:textId="62731ACC" w:rsidR="00357947" w:rsidRPr="00CD4F28" w:rsidRDefault="00357947" w:rsidP="00A73694">
            <w:pPr>
              <w:tabs>
                <w:tab w:val="left" w:pos="0"/>
              </w:tabs>
              <w:spacing w:line="276" w:lineRule="auto"/>
              <w:ind w:right="283"/>
              <w:jc w:val="both"/>
              <w:rPr>
                <w:rFonts w:ascii="Arial" w:hAnsi="Arial" w:cs="Arial"/>
                <w:sz w:val="24"/>
                <w:szCs w:val="24"/>
                <w:lang w:val="en-IE"/>
              </w:rPr>
            </w:pPr>
            <w:r w:rsidRPr="00CD4F28">
              <w:rPr>
                <w:rFonts w:ascii="Arial" w:hAnsi="Arial" w:cs="Arial"/>
                <w:b/>
                <w:sz w:val="24"/>
                <w:szCs w:val="24"/>
                <w:lang w:val="en-IE"/>
              </w:rPr>
              <w:t>Article 10</w:t>
            </w:r>
            <w:r w:rsidRPr="00CD4F28">
              <w:rPr>
                <w:rFonts w:ascii="Arial" w:hAnsi="Arial" w:cs="Arial"/>
                <w:sz w:val="24"/>
                <w:szCs w:val="24"/>
                <w:lang w:val="en-IE"/>
              </w:rPr>
              <w:t xml:space="preserve"> of the Regulation specifies that the Authority shall assess risks and carry out analyses regarding labour mobility and social security coordination, on topics such as labour market imbalances, sector-specific challenges and recurring problems. </w:t>
            </w:r>
            <w:r w:rsidR="00CB79B6" w:rsidRPr="00CD4F28">
              <w:rPr>
                <w:rFonts w:ascii="Arial" w:hAnsi="Arial" w:cs="Arial"/>
                <w:sz w:val="24"/>
                <w:szCs w:val="24"/>
                <w:lang w:val="en-IE"/>
              </w:rPr>
              <w:t xml:space="preserve">The Authority </w:t>
            </w:r>
            <w:r w:rsidRPr="00CD4F28">
              <w:rPr>
                <w:rFonts w:ascii="Arial" w:hAnsi="Arial" w:cs="Arial"/>
                <w:sz w:val="24"/>
                <w:szCs w:val="24"/>
                <w:lang w:val="en-IE"/>
              </w:rPr>
              <w:t xml:space="preserve">can also prepare at hoc analyses and studies. </w:t>
            </w:r>
          </w:p>
          <w:p w14:paraId="218B8E2B" w14:textId="77777777" w:rsidR="00357947" w:rsidRPr="00CD4F28" w:rsidRDefault="00357947" w:rsidP="00A73694">
            <w:pPr>
              <w:tabs>
                <w:tab w:val="left" w:pos="0"/>
              </w:tabs>
              <w:spacing w:line="276" w:lineRule="auto"/>
              <w:ind w:right="283"/>
              <w:jc w:val="both"/>
              <w:rPr>
                <w:rFonts w:ascii="Arial" w:hAnsi="Arial" w:cs="Arial"/>
                <w:sz w:val="24"/>
                <w:szCs w:val="24"/>
                <w:lang w:val="en-IE"/>
              </w:rPr>
            </w:pPr>
          </w:p>
          <w:p w14:paraId="01D9BF99" w14:textId="77777777" w:rsidR="00357947" w:rsidRPr="00CD4F28" w:rsidRDefault="00357947" w:rsidP="00A73694">
            <w:pPr>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task includes:</w:t>
            </w:r>
          </w:p>
          <w:p w14:paraId="1997F7FF" w14:textId="6E970DE2"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Organisation of peer reviews on </w:t>
            </w:r>
            <w:r w:rsidR="00CB79B6" w:rsidRPr="00CD4F28">
              <w:rPr>
                <w:rFonts w:ascii="Arial" w:hAnsi="Arial" w:cs="Arial"/>
                <w:sz w:val="24"/>
                <w:szCs w:val="24"/>
                <w:lang w:val="en-IE"/>
              </w:rPr>
              <w:t xml:space="preserve">topics concerning </w:t>
            </w:r>
            <w:r w:rsidRPr="00CD4F28">
              <w:rPr>
                <w:rFonts w:ascii="Arial" w:hAnsi="Arial" w:cs="Arial"/>
                <w:sz w:val="24"/>
                <w:szCs w:val="24"/>
                <w:lang w:val="en-IE"/>
              </w:rPr>
              <w:t xml:space="preserve">implementation </w:t>
            </w:r>
            <w:r w:rsidR="00CB79B6" w:rsidRPr="00CD4F28">
              <w:rPr>
                <w:rFonts w:ascii="Arial" w:hAnsi="Arial" w:cs="Arial"/>
                <w:sz w:val="24"/>
                <w:szCs w:val="24"/>
                <w:lang w:val="en-IE"/>
              </w:rPr>
              <w:t>of Union law, on the</w:t>
            </w:r>
            <w:r w:rsidRPr="00CD4F28">
              <w:rPr>
                <w:rFonts w:ascii="Arial" w:hAnsi="Arial" w:cs="Arial"/>
                <w:sz w:val="24"/>
                <w:szCs w:val="24"/>
                <w:lang w:val="en-IE"/>
              </w:rPr>
              <w:t xml:space="preserve"> provision of services</w:t>
            </w:r>
            <w:r w:rsidR="00CB79B6" w:rsidRPr="00CD4F28">
              <w:rPr>
                <w:rFonts w:ascii="Arial" w:hAnsi="Arial" w:cs="Arial"/>
                <w:sz w:val="24"/>
                <w:szCs w:val="24"/>
                <w:lang w:val="en-IE"/>
              </w:rPr>
              <w:t xml:space="preserve"> to individuals and businesses</w:t>
            </w:r>
            <w:r w:rsidRPr="00CD4F28">
              <w:rPr>
                <w:rFonts w:ascii="Arial" w:hAnsi="Arial" w:cs="Arial"/>
                <w:sz w:val="24"/>
                <w:szCs w:val="24"/>
                <w:lang w:val="en-IE"/>
              </w:rPr>
              <w:t xml:space="preserve">, mutual understanding of </w:t>
            </w:r>
            <w:r w:rsidR="00CB79B6" w:rsidRPr="00CD4F28">
              <w:rPr>
                <w:rFonts w:ascii="Arial" w:hAnsi="Arial" w:cs="Arial"/>
                <w:sz w:val="24"/>
                <w:szCs w:val="24"/>
                <w:lang w:val="en-IE"/>
              </w:rPr>
              <w:t xml:space="preserve">different systems </w:t>
            </w:r>
            <w:r w:rsidRPr="00CD4F28">
              <w:rPr>
                <w:rFonts w:ascii="Arial" w:hAnsi="Arial" w:cs="Arial"/>
                <w:sz w:val="24"/>
                <w:szCs w:val="24"/>
                <w:lang w:val="en-IE"/>
              </w:rPr>
              <w:t>and practices;</w:t>
            </w:r>
          </w:p>
          <w:p w14:paraId="7611B9F1" w14:textId="33FC8A58"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Reporting on findings from risk assessment </w:t>
            </w:r>
            <w:r w:rsidR="00CB79B6" w:rsidRPr="00CD4F28">
              <w:rPr>
                <w:rFonts w:ascii="Arial" w:hAnsi="Arial" w:cs="Arial"/>
                <w:sz w:val="24"/>
                <w:szCs w:val="24"/>
                <w:lang w:val="en-IE"/>
              </w:rPr>
              <w:t>or analytical work</w:t>
            </w:r>
            <w:r w:rsidRPr="00CD4F28">
              <w:rPr>
                <w:rFonts w:ascii="Arial" w:hAnsi="Arial" w:cs="Arial"/>
                <w:sz w:val="24"/>
                <w:szCs w:val="24"/>
                <w:lang w:val="en-IE"/>
              </w:rPr>
              <w:t>;</w:t>
            </w:r>
          </w:p>
          <w:p w14:paraId="213D7FC5" w14:textId="7A541387"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Streamlining of </w:t>
            </w:r>
            <w:r w:rsidR="00CB79B6" w:rsidRPr="00CD4F28">
              <w:rPr>
                <w:rFonts w:ascii="Arial" w:hAnsi="Arial" w:cs="Arial"/>
                <w:sz w:val="24"/>
                <w:szCs w:val="24"/>
                <w:lang w:val="en-IE"/>
              </w:rPr>
              <w:t xml:space="preserve">current </w:t>
            </w:r>
            <w:r w:rsidRPr="00CD4F28">
              <w:rPr>
                <w:rFonts w:ascii="Arial" w:hAnsi="Arial" w:cs="Arial"/>
                <w:sz w:val="24"/>
                <w:szCs w:val="24"/>
                <w:lang w:val="en-IE"/>
              </w:rPr>
              <w:t>data collection.</w:t>
            </w:r>
          </w:p>
        </w:tc>
      </w:tr>
    </w:tbl>
    <w:p w14:paraId="6AA56509" w14:textId="4222DF68" w:rsidR="0068460C" w:rsidRPr="00CD4F28" w:rsidRDefault="0068460C" w:rsidP="00A73694">
      <w:pPr>
        <w:pStyle w:val="ListParagraph"/>
        <w:widowControl/>
        <w:tabs>
          <w:tab w:val="left" w:pos="0"/>
        </w:tabs>
        <w:adjustRightInd w:val="0"/>
        <w:spacing w:line="276" w:lineRule="auto"/>
        <w:ind w:right="283"/>
        <w:contextualSpacing/>
        <w:jc w:val="both"/>
        <w:rPr>
          <w:rFonts w:ascii="Arial" w:hAnsi="Arial" w:cs="Arial"/>
          <w:sz w:val="24"/>
          <w:szCs w:val="24"/>
          <w:lang w:val="en-IE"/>
        </w:rPr>
      </w:pPr>
      <w:r w:rsidRPr="00CD4F28">
        <w:rPr>
          <w:rFonts w:ascii="Arial" w:hAnsi="Arial" w:cs="Arial"/>
          <w:sz w:val="24"/>
          <w:szCs w:val="24"/>
          <w:lang w:val="en-IE"/>
        </w:rPr>
        <w:t xml:space="preserve"> </w:t>
      </w:r>
    </w:p>
    <w:p w14:paraId="3F77B096" w14:textId="574A6C42" w:rsidR="001B2A57" w:rsidRPr="00CD4F28" w:rsidRDefault="001B2A57" w:rsidP="00A73694">
      <w:pPr>
        <w:pStyle w:val="BodyText"/>
        <w:tabs>
          <w:tab w:val="left" w:pos="0"/>
        </w:tabs>
        <w:spacing w:line="276" w:lineRule="auto"/>
        <w:ind w:right="283"/>
        <w:rPr>
          <w:rFonts w:ascii="Arial" w:hAnsi="Arial" w:cs="Arial"/>
          <w:sz w:val="24"/>
          <w:szCs w:val="24"/>
          <w:u w:val="single"/>
          <w:lang w:val="en-IE"/>
        </w:rPr>
      </w:pPr>
      <w:r w:rsidRPr="00CD4F28">
        <w:rPr>
          <w:rFonts w:ascii="Arial" w:hAnsi="Arial" w:cs="Arial"/>
          <w:sz w:val="24"/>
          <w:szCs w:val="24"/>
          <w:u w:val="single"/>
          <w:lang w:val="en-IE"/>
        </w:rPr>
        <w:t>Key objectives</w:t>
      </w:r>
    </w:p>
    <w:p w14:paraId="2C2FA7C9" w14:textId="77777777" w:rsidR="00E21897" w:rsidRPr="00CD4F28" w:rsidRDefault="00E21897" w:rsidP="00A73694">
      <w:pPr>
        <w:pStyle w:val="BodyText"/>
        <w:tabs>
          <w:tab w:val="left" w:pos="0"/>
        </w:tabs>
        <w:spacing w:line="276" w:lineRule="auto"/>
        <w:ind w:right="283"/>
        <w:jc w:val="both"/>
        <w:rPr>
          <w:rFonts w:ascii="Arial" w:hAnsi="Arial" w:cs="Arial"/>
          <w:sz w:val="24"/>
          <w:szCs w:val="24"/>
          <w:lang w:val="en-IE"/>
        </w:rPr>
      </w:pPr>
    </w:p>
    <w:p w14:paraId="5D281636" w14:textId="336DE96C" w:rsidR="001B2A57" w:rsidRPr="00CD4F28" w:rsidRDefault="001B2A57"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The Authority will initiate cooperation with other EU agencies on labour mobility analyses and</w:t>
      </w:r>
      <w:r w:rsidR="00981F78" w:rsidRPr="00CD4F28">
        <w:rPr>
          <w:rFonts w:ascii="Arial" w:hAnsi="Arial" w:cs="Arial"/>
          <w:sz w:val="24"/>
          <w:szCs w:val="24"/>
          <w:lang w:val="en-IE"/>
        </w:rPr>
        <w:t xml:space="preserve"> initiate work to explore </w:t>
      </w:r>
      <w:r w:rsidR="00E21897" w:rsidRPr="00CD4F28">
        <w:rPr>
          <w:rFonts w:ascii="Arial" w:hAnsi="Arial" w:cs="Arial"/>
          <w:sz w:val="24"/>
          <w:szCs w:val="24"/>
          <w:lang w:val="en-IE"/>
        </w:rPr>
        <w:t xml:space="preserve">options for </w:t>
      </w:r>
      <w:r w:rsidR="00981F78" w:rsidRPr="00CD4F28">
        <w:rPr>
          <w:rFonts w:ascii="Arial" w:hAnsi="Arial" w:cs="Arial"/>
          <w:sz w:val="24"/>
          <w:szCs w:val="24"/>
          <w:lang w:val="en-IE"/>
        </w:rPr>
        <w:t>the development of ELA</w:t>
      </w:r>
      <w:r w:rsidR="00E21897" w:rsidRPr="00CD4F28">
        <w:rPr>
          <w:rFonts w:ascii="Arial" w:hAnsi="Arial" w:cs="Arial"/>
          <w:sz w:val="24"/>
          <w:szCs w:val="24"/>
          <w:lang w:val="en-IE"/>
        </w:rPr>
        <w:t>-specific and national</w:t>
      </w:r>
      <w:r w:rsidR="00981F78" w:rsidRPr="00CD4F28">
        <w:rPr>
          <w:rFonts w:ascii="Arial" w:hAnsi="Arial" w:cs="Arial"/>
          <w:sz w:val="24"/>
          <w:szCs w:val="24"/>
          <w:lang w:val="en-IE"/>
        </w:rPr>
        <w:t xml:space="preserve"> risk assessment tool</w:t>
      </w:r>
      <w:r w:rsidR="00E21897" w:rsidRPr="00CD4F28">
        <w:rPr>
          <w:rFonts w:ascii="Arial" w:hAnsi="Arial" w:cs="Arial"/>
          <w:sz w:val="24"/>
          <w:szCs w:val="24"/>
          <w:lang w:val="en-IE"/>
        </w:rPr>
        <w:t>s</w:t>
      </w:r>
      <w:r w:rsidR="00CC4DF0" w:rsidRPr="00CD4F28">
        <w:rPr>
          <w:rFonts w:ascii="Arial" w:hAnsi="Arial" w:cs="Arial"/>
          <w:sz w:val="24"/>
          <w:szCs w:val="24"/>
          <w:lang w:val="en-IE"/>
        </w:rPr>
        <w:t xml:space="preserve"> also with a view to support the planning of future concerted and joint inspections</w:t>
      </w:r>
      <w:r w:rsidRPr="00CD4F28">
        <w:rPr>
          <w:rFonts w:ascii="Arial" w:hAnsi="Arial" w:cs="Arial"/>
          <w:sz w:val="24"/>
          <w:szCs w:val="24"/>
          <w:lang w:val="en-IE"/>
        </w:rPr>
        <w:t>.</w:t>
      </w:r>
    </w:p>
    <w:p w14:paraId="5C480142" w14:textId="220ADFFA" w:rsidR="001B2A57" w:rsidRDefault="001B2A57" w:rsidP="00A73694">
      <w:pPr>
        <w:pStyle w:val="BodyText"/>
        <w:tabs>
          <w:tab w:val="left" w:pos="0"/>
        </w:tabs>
        <w:spacing w:line="276" w:lineRule="auto"/>
        <w:ind w:right="283"/>
        <w:rPr>
          <w:rFonts w:ascii="Arial" w:hAnsi="Arial" w:cs="Arial"/>
          <w:b/>
          <w:sz w:val="24"/>
          <w:szCs w:val="24"/>
          <w:lang w:val="en-IE"/>
        </w:rPr>
      </w:pPr>
    </w:p>
    <w:p w14:paraId="163F3F22" w14:textId="77777777" w:rsidR="00120CC6" w:rsidRPr="00CD4F28" w:rsidRDefault="00120CC6" w:rsidP="00A73694">
      <w:pPr>
        <w:pStyle w:val="BodyText"/>
        <w:tabs>
          <w:tab w:val="left" w:pos="0"/>
        </w:tabs>
        <w:spacing w:line="276" w:lineRule="auto"/>
        <w:ind w:right="283"/>
        <w:rPr>
          <w:rFonts w:ascii="Arial" w:hAnsi="Arial" w:cs="Arial"/>
          <w:b/>
          <w:sz w:val="24"/>
          <w:szCs w:val="24"/>
          <w:lang w:val="en-IE"/>
        </w:rPr>
      </w:pPr>
    </w:p>
    <w:p w14:paraId="379DEA7A" w14:textId="2FE038CE" w:rsidR="001D0405" w:rsidRPr="00CD4F28" w:rsidRDefault="003B260F" w:rsidP="00A73694">
      <w:pPr>
        <w:pStyle w:val="BodyText"/>
        <w:tabs>
          <w:tab w:val="left" w:pos="0"/>
        </w:tabs>
        <w:spacing w:line="276" w:lineRule="auto"/>
        <w:ind w:right="283"/>
        <w:rPr>
          <w:rFonts w:ascii="Arial" w:hAnsi="Arial" w:cs="Arial"/>
          <w:sz w:val="24"/>
          <w:szCs w:val="24"/>
          <w:u w:val="single"/>
          <w:lang w:val="en-IE"/>
        </w:rPr>
      </w:pPr>
      <w:r>
        <w:rPr>
          <w:rFonts w:ascii="Arial" w:hAnsi="Arial" w:cs="Arial"/>
          <w:sz w:val="24"/>
          <w:szCs w:val="24"/>
          <w:u w:val="single"/>
          <w:lang w:val="en-IE"/>
        </w:rPr>
        <w:t>Main actions and outputs</w:t>
      </w:r>
      <w:r w:rsidR="001D0405" w:rsidRPr="00CD4F28">
        <w:rPr>
          <w:rFonts w:ascii="Arial" w:hAnsi="Arial" w:cs="Arial"/>
          <w:sz w:val="24"/>
          <w:szCs w:val="24"/>
          <w:u w:val="single"/>
          <w:lang w:val="en-IE"/>
        </w:rPr>
        <w:t xml:space="preserve"> </w:t>
      </w:r>
    </w:p>
    <w:p w14:paraId="78902371" w14:textId="77777777" w:rsidR="006843FF" w:rsidRPr="00CD4F28" w:rsidRDefault="006843FF" w:rsidP="00A73694">
      <w:pPr>
        <w:pStyle w:val="BodyText"/>
        <w:tabs>
          <w:tab w:val="left" w:pos="0"/>
        </w:tabs>
        <w:spacing w:line="276" w:lineRule="auto"/>
        <w:ind w:right="283"/>
        <w:rPr>
          <w:rFonts w:ascii="Arial" w:hAnsi="Arial" w:cs="Arial"/>
          <w:sz w:val="24"/>
          <w:szCs w:val="24"/>
          <w:u w:val="single"/>
          <w:lang w:val="en-IE"/>
        </w:rPr>
      </w:pPr>
    </w:p>
    <w:p w14:paraId="247F3739" w14:textId="7FFEEB7F" w:rsidR="001D0405" w:rsidRPr="00CD4F28" w:rsidRDefault="000C0533" w:rsidP="000C0533">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 xml:space="preserve">2.4.1 </w:t>
      </w:r>
      <w:r w:rsidR="00A03501" w:rsidRPr="00CD4F28">
        <w:rPr>
          <w:rFonts w:ascii="Arial" w:hAnsi="Arial" w:cs="Arial"/>
          <w:b/>
          <w:sz w:val="24"/>
          <w:szCs w:val="24"/>
          <w:lang w:val="en-IE"/>
        </w:rPr>
        <w:t>Or</w:t>
      </w:r>
      <w:r w:rsidR="00E21897" w:rsidRPr="00CD4F28">
        <w:rPr>
          <w:rFonts w:ascii="Arial" w:hAnsi="Arial" w:cs="Arial"/>
          <w:b/>
          <w:sz w:val="24"/>
          <w:szCs w:val="24"/>
          <w:lang w:val="en-IE"/>
        </w:rPr>
        <w:t>ganising</w:t>
      </w:r>
      <w:r w:rsidR="00D143AF" w:rsidRPr="00CD4F28">
        <w:rPr>
          <w:rFonts w:ascii="Arial" w:hAnsi="Arial" w:cs="Arial"/>
          <w:b/>
          <w:sz w:val="24"/>
          <w:szCs w:val="24"/>
          <w:lang w:val="en-IE"/>
        </w:rPr>
        <w:t xml:space="preserve"> a workshop</w:t>
      </w:r>
      <w:r w:rsidR="001D0405" w:rsidRPr="00CD4F28">
        <w:rPr>
          <w:rFonts w:ascii="Arial" w:hAnsi="Arial" w:cs="Arial"/>
          <w:b/>
          <w:sz w:val="24"/>
          <w:szCs w:val="24"/>
          <w:lang w:val="en-IE"/>
        </w:rPr>
        <w:t xml:space="preserve"> with EU agencies and </w:t>
      </w:r>
      <w:r w:rsidR="00D143AF" w:rsidRPr="00CD4F28">
        <w:rPr>
          <w:rFonts w:ascii="Arial" w:hAnsi="Arial" w:cs="Arial"/>
          <w:b/>
          <w:sz w:val="24"/>
          <w:szCs w:val="24"/>
          <w:lang w:val="en-IE"/>
        </w:rPr>
        <w:t>relevant</w:t>
      </w:r>
      <w:r w:rsidR="001D0405" w:rsidRPr="00CD4F28">
        <w:rPr>
          <w:rFonts w:ascii="Arial" w:hAnsi="Arial" w:cs="Arial"/>
          <w:b/>
          <w:sz w:val="24"/>
          <w:szCs w:val="24"/>
          <w:lang w:val="en-IE"/>
        </w:rPr>
        <w:t xml:space="preserve"> bodies</w:t>
      </w:r>
    </w:p>
    <w:p w14:paraId="77F428E8" w14:textId="77777777" w:rsidR="003F5F00" w:rsidRPr="00CD4F28" w:rsidRDefault="003F5F00" w:rsidP="00A73694">
      <w:pPr>
        <w:pStyle w:val="BodyText"/>
        <w:tabs>
          <w:tab w:val="left" w:pos="0"/>
        </w:tabs>
        <w:spacing w:line="276" w:lineRule="auto"/>
        <w:ind w:left="1080" w:right="283"/>
        <w:jc w:val="both"/>
        <w:rPr>
          <w:rFonts w:ascii="Arial" w:hAnsi="Arial" w:cs="Arial"/>
          <w:b/>
          <w:sz w:val="24"/>
          <w:szCs w:val="24"/>
          <w:lang w:val="en-IE"/>
        </w:rPr>
      </w:pPr>
    </w:p>
    <w:p w14:paraId="31E4230F" w14:textId="242FC150" w:rsidR="001D0405" w:rsidRPr="00CD4F28" w:rsidRDefault="00C0313E"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lastRenderedPageBreak/>
        <w:t>The Authority will organise a works</w:t>
      </w:r>
      <w:r w:rsidR="005308B3" w:rsidRPr="00CD4F28">
        <w:rPr>
          <w:rFonts w:ascii="Arial" w:hAnsi="Arial" w:cs="Arial"/>
          <w:sz w:val="24"/>
          <w:szCs w:val="24"/>
          <w:lang w:val="en-IE"/>
        </w:rPr>
        <w:t>hop with the other EU</w:t>
      </w:r>
      <w:r w:rsidRPr="00CD4F28">
        <w:rPr>
          <w:rFonts w:ascii="Arial" w:hAnsi="Arial" w:cs="Arial"/>
          <w:sz w:val="24"/>
          <w:szCs w:val="24"/>
          <w:lang w:val="en-IE"/>
        </w:rPr>
        <w:t xml:space="preserve"> agencies, as well as with other relevant bodies for its activities to explore synergies and cooperation opportunities for the future work programme</w:t>
      </w:r>
      <w:r w:rsidR="00F7153C" w:rsidRPr="00CD4F28">
        <w:rPr>
          <w:rFonts w:ascii="Arial" w:hAnsi="Arial" w:cs="Arial"/>
          <w:sz w:val="24"/>
          <w:szCs w:val="24"/>
          <w:lang w:val="en-IE"/>
        </w:rPr>
        <w:t>s,</w:t>
      </w:r>
      <w:r w:rsidRPr="00CD4F28">
        <w:rPr>
          <w:rFonts w:ascii="Arial" w:hAnsi="Arial" w:cs="Arial"/>
          <w:sz w:val="24"/>
          <w:szCs w:val="24"/>
          <w:lang w:val="en-IE"/>
        </w:rPr>
        <w:t xml:space="preserve"> and avoid duplication of activities.</w:t>
      </w:r>
    </w:p>
    <w:p w14:paraId="5FD06D7F" w14:textId="77777777" w:rsidR="001D0405" w:rsidRPr="00CD4F28" w:rsidRDefault="001D0405" w:rsidP="00A73694">
      <w:pPr>
        <w:pStyle w:val="BodyText"/>
        <w:tabs>
          <w:tab w:val="left" w:pos="0"/>
        </w:tabs>
        <w:spacing w:line="276" w:lineRule="auto"/>
        <w:ind w:left="731" w:right="283"/>
        <w:jc w:val="both"/>
        <w:rPr>
          <w:rFonts w:ascii="Arial" w:hAnsi="Arial" w:cs="Arial"/>
          <w:sz w:val="24"/>
          <w:szCs w:val="24"/>
          <w:lang w:val="en-IE"/>
        </w:rPr>
      </w:pPr>
    </w:p>
    <w:p w14:paraId="1F917E15" w14:textId="7A606A9D" w:rsidR="001D0405" w:rsidRPr="00CD4F28" w:rsidRDefault="000C0533" w:rsidP="000C0533">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 xml:space="preserve">2.4.2 </w:t>
      </w:r>
      <w:r w:rsidR="00E21897" w:rsidRPr="00CD4F28">
        <w:rPr>
          <w:rFonts w:ascii="Arial" w:hAnsi="Arial" w:cs="Arial"/>
          <w:b/>
          <w:sz w:val="24"/>
          <w:szCs w:val="24"/>
          <w:lang w:val="en-IE"/>
        </w:rPr>
        <w:t xml:space="preserve">Organising a workshop on </w:t>
      </w:r>
      <w:r w:rsidR="001D0405" w:rsidRPr="00CD4F28">
        <w:rPr>
          <w:rFonts w:ascii="Arial" w:hAnsi="Arial" w:cs="Arial"/>
          <w:b/>
          <w:sz w:val="24"/>
          <w:szCs w:val="24"/>
          <w:lang w:val="en-IE"/>
        </w:rPr>
        <w:t xml:space="preserve">risk assessment tools </w:t>
      </w:r>
    </w:p>
    <w:p w14:paraId="1F8C6C8C" w14:textId="77777777" w:rsidR="00E21897" w:rsidRPr="00CD4F28" w:rsidRDefault="00E21897" w:rsidP="00A73694">
      <w:pPr>
        <w:pStyle w:val="BodyText"/>
        <w:tabs>
          <w:tab w:val="left" w:pos="0"/>
        </w:tabs>
        <w:spacing w:line="276" w:lineRule="auto"/>
        <w:ind w:right="283"/>
        <w:jc w:val="both"/>
        <w:rPr>
          <w:rFonts w:ascii="Arial" w:hAnsi="Arial" w:cs="Arial"/>
          <w:sz w:val="24"/>
          <w:szCs w:val="24"/>
          <w:lang w:val="en-IE"/>
        </w:rPr>
      </w:pPr>
    </w:p>
    <w:p w14:paraId="3F765EA6" w14:textId="1B2074E9" w:rsidR="001D0405" w:rsidRPr="00CD4F28" w:rsidRDefault="00E21897"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Also building on the work carried out by the European Platform tackling undeclared work, the </w:t>
      </w:r>
      <w:r w:rsidR="00C0313E" w:rsidRPr="00CD4F28">
        <w:rPr>
          <w:rFonts w:ascii="Arial" w:hAnsi="Arial" w:cs="Arial"/>
          <w:sz w:val="24"/>
          <w:szCs w:val="24"/>
          <w:lang w:val="en-IE"/>
        </w:rPr>
        <w:t xml:space="preserve">Authority will </w:t>
      </w:r>
      <w:r w:rsidRPr="00CD4F28">
        <w:rPr>
          <w:rFonts w:ascii="Arial" w:hAnsi="Arial" w:cs="Arial"/>
          <w:sz w:val="24"/>
          <w:szCs w:val="24"/>
          <w:lang w:val="en-IE"/>
        </w:rPr>
        <w:t xml:space="preserve">organise </w:t>
      </w:r>
      <w:r w:rsidR="00CC4DF0" w:rsidRPr="00CD4F28">
        <w:rPr>
          <w:rFonts w:ascii="Arial" w:hAnsi="Arial" w:cs="Arial"/>
          <w:sz w:val="24"/>
          <w:szCs w:val="24"/>
          <w:lang w:val="en-IE"/>
        </w:rPr>
        <w:t>at least one</w:t>
      </w:r>
      <w:r w:rsidRPr="00CD4F28">
        <w:rPr>
          <w:rFonts w:ascii="Arial" w:hAnsi="Arial" w:cs="Arial"/>
          <w:sz w:val="24"/>
          <w:szCs w:val="24"/>
          <w:lang w:val="en-IE"/>
        </w:rPr>
        <w:t xml:space="preserve"> expert workshop to explore tools, challenges, and needs with a view on defining a work plan beyond 2020. The workshop may address issues such as national tools operability, data transfer, data availability, and data protection</w:t>
      </w:r>
      <w:r w:rsidR="00C0313E" w:rsidRPr="00CD4F28">
        <w:rPr>
          <w:rFonts w:ascii="Arial" w:hAnsi="Arial" w:cs="Arial"/>
          <w:sz w:val="24"/>
          <w:szCs w:val="24"/>
          <w:lang w:val="en-IE"/>
        </w:rPr>
        <w:t>.</w:t>
      </w:r>
      <w:r w:rsidR="00F96BB2" w:rsidRPr="00CD4F28">
        <w:rPr>
          <w:rFonts w:ascii="Arial" w:hAnsi="Arial" w:cs="Arial"/>
          <w:sz w:val="24"/>
          <w:szCs w:val="24"/>
          <w:lang w:val="en-IE"/>
        </w:rPr>
        <w:t xml:space="preserve"> The development of this task will be an essential complement to the coordination and support of coordinated and joint inspections. </w:t>
      </w:r>
    </w:p>
    <w:p w14:paraId="5F381BFC" w14:textId="53627912" w:rsidR="00A71122" w:rsidRPr="00CD4F28" w:rsidRDefault="00A71122" w:rsidP="00A73694">
      <w:pPr>
        <w:pStyle w:val="BodyText"/>
        <w:tabs>
          <w:tab w:val="left" w:pos="0"/>
        </w:tabs>
        <w:spacing w:line="276" w:lineRule="auto"/>
        <w:ind w:right="283"/>
        <w:jc w:val="both"/>
        <w:rPr>
          <w:rFonts w:ascii="Arial" w:eastAsia="Times New Roman" w:hAnsi="Arial" w:cs="Arial"/>
          <w:sz w:val="24"/>
          <w:szCs w:val="24"/>
          <w:lang w:val="en-IE"/>
        </w:rPr>
      </w:pPr>
    </w:p>
    <w:tbl>
      <w:tblPr>
        <w:tblStyle w:val="TableGrid"/>
        <w:tblW w:w="0" w:type="auto"/>
        <w:tblInd w:w="108" w:type="dxa"/>
        <w:tblLook w:val="04A0" w:firstRow="1" w:lastRow="0" w:firstColumn="1" w:lastColumn="0" w:noHBand="0" w:noVBand="1"/>
      </w:tblPr>
      <w:tblGrid>
        <w:gridCol w:w="3108"/>
        <w:gridCol w:w="2401"/>
        <w:gridCol w:w="1977"/>
        <w:gridCol w:w="1586"/>
      </w:tblGrid>
      <w:tr w:rsidR="00A71122" w:rsidRPr="00CD4F28" w14:paraId="0E421EBC" w14:textId="77777777" w:rsidTr="003B260F">
        <w:tc>
          <w:tcPr>
            <w:tcW w:w="3108" w:type="dxa"/>
            <w:vAlign w:val="center"/>
          </w:tcPr>
          <w:p w14:paraId="7F8A3B2E" w14:textId="384742BE" w:rsidR="00A71122" w:rsidRPr="00CD4F28" w:rsidRDefault="00B3500A"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Activities</w:t>
            </w:r>
          </w:p>
        </w:tc>
        <w:tc>
          <w:tcPr>
            <w:tcW w:w="2401" w:type="dxa"/>
            <w:vAlign w:val="center"/>
          </w:tcPr>
          <w:p w14:paraId="750D4034" w14:textId="47761EBD" w:rsidR="00A71122" w:rsidRPr="00CD4F28" w:rsidRDefault="00BB5645"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Method</w:t>
            </w:r>
          </w:p>
        </w:tc>
        <w:tc>
          <w:tcPr>
            <w:tcW w:w="1977" w:type="dxa"/>
            <w:vAlign w:val="center"/>
          </w:tcPr>
          <w:p w14:paraId="18650BB2" w14:textId="7A393342" w:rsidR="00A71122" w:rsidRPr="00CD4F28" w:rsidRDefault="00BB5645"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Time</w:t>
            </w:r>
          </w:p>
        </w:tc>
        <w:tc>
          <w:tcPr>
            <w:tcW w:w="1586" w:type="dxa"/>
            <w:vAlign w:val="center"/>
          </w:tcPr>
          <w:p w14:paraId="477929B7" w14:textId="78AF6978" w:rsidR="00A71122" w:rsidRPr="00CD4F28" w:rsidRDefault="00B3500A"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2020 Estimate</w:t>
            </w:r>
          </w:p>
        </w:tc>
      </w:tr>
      <w:tr w:rsidR="005308B3" w:rsidRPr="00CD4F28" w14:paraId="613BD491" w14:textId="77777777" w:rsidTr="003B260F">
        <w:tc>
          <w:tcPr>
            <w:tcW w:w="3108" w:type="dxa"/>
            <w:vAlign w:val="center"/>
          </w:tcPr>
          <w:p w14:paraId="7CEFEBF8" w14:textId="4723D22F" w:rsidR="005308B3" w:rsidRPr="00CD4F28" w:rsidRDefault="005308B3"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Workshop with other agencies and bodies</w:t>
            </w:r>
          </w:p>
        </w:tc>
        <w:tc>
          <w:tcPr>
            <w:tcW w:w="2401" w:type="dxa"/>
            <w:vAlign w:val="center"/>
          </w:tcPr>
          <w:p w14:paraId="1B3C954A" w14:textId="6FEF2F7B" w:rsidR="005308B3" w:rsidRPr="00CD4F28" w:rsidRDefault="005308B3"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Contract for services</w:t>
            </w:r>
          </w:p>
        </w:tc>
        <w:tc>
          <w:tcPr>
            <w:tcW w:w="1977" w:type="dxa"/>
            <w:vAlign w:val="center"/>
          </w:tcPr>
          <w:p w14:paraId="7E37E5A9" w14:textId="7910E8F9" w:rsidR="005308B3" w:rsidRPr="00CD4F28" w:rsidRDefault="006843FF"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Q2/Q3</w:t>
            </w:r>
          </w:p>
        </w:tc>
        <w:tc>
          <w:tcPr>
            <w:tcW w:w="1586" w:type="dxa"/>
            <w:vAlign w:val="center"/>
          </w:tcPr>
          <w:p w14:paraId="417283EC" w14:textId="3F89E303" w:rsidR="005308B3" w:rsidRPr="00CD4F28" w:rsidRDefault="006843FF"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10 000</w:t>
            </w:r>
          </w:p>
        </w:tc>
      </w:tr>
      <w:tr w:rsidR="00BB5645" w:rsidRPr="00CD4F28" w14:paraId="74BBF502" w14:textId="77777777" w:rsidTr="003B260F">
        <w:tc>
          <w:tcPr>
            <w:tcW w:w="3108" w:type="dxa"/>
            <w:vAlign w:val="center"/>
          </w:tcPr>
          <w:p w14:paraId="52959D99" w14:textId="5A21F892" w:rsidR="00BB5645" w:rsidRPr="00CD4F28" w:rsidRDefault="00BB5645"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Workshop</w:t>
            </w:r>
            <w:r w:rsidR="006843FF" w:rsidRPr="00CD4F28">
              <w:rPr>
                <w:rFonts w:ascii="Arial" w:hAnsi="Arial" w:cs="Arial"/>
                <w:sz w:val="22"/>
                <w:szCs w:val="24"/>
                <w:lang w:val="en-IE"/>
              </w:rPr>
              <w:t>s</w:t>
            </w:r>
            <w:r w:rsidRPr="00CD4F28">
              <w:rPr>
                <w:rFonts w:ascii="Arial" w:hAnsi="Arial" w:cs="Arial"/>
                <w:sz w:val="22"/>
                <w:szCs w:val="24"/>
                <w:lang w:val="en-IE"/>
              </w:rPr>
              <w:t xml:space="preserve"> on risk assessment </w:t>
            </w:r>
          </w:p>
        </w:tc>
        <w:tc>
          <w:tcPr>
            <w:tcW w:w="2401" w:type="dxa"/>
            <w:vAlign w:val="center"/>
          </w:tcPr>
          <w:p w14:paraId="50CBD31E" w14:textId="3F2A9EAC" w:rsidR="00BB5645" w:rsidRPr="00CD4F28" w:rsidRDefault="00BB5645"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Contract for services</w:t>
            </w:r>
          </w:p>
        </w:tc>
        <w:tc>
          <w:tcPr>
            <w:tcW w:w="1977" w:type="dxa"/>
            <w:vAlign w:val="center"/>
          </w:tcPr>
          <w:p w14:paraId="366F0C40" w14:textId="56A190B6" w:rsidR="00BB5645" w:rsidRPr="00CD4F28" w:rsidRDefault="00BB5645"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Q3 - Q4</w:t>
            </w:r>
          </w:p>
        </w:tc>
        <w:tc>
          <w:tcPr>
            <w:tcW w:w="1586" w:type="dxa"/>
            <w:vAlign w:val="center"/>
          </w:tcPr>
          <w:p w14:paraId="5D35D1BC" w14:textId="7EFDE046" w:rsidR="00BB5645" w:rsidRPr="00CD4F28" w:rsidRDefault="00E03B33"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100</w:t>
            </w:r>
            <w:r w:rsidR="00BB5645" w:rsidRPr="00CD4F28">
              <w:rPr>
                <w:rFonts w:ascii="Arial" w:hAnsi="Arial" w:cs="Arial"/>
                <w:sz w:val="22"/>
                <w:szCs w:val="24"/>
                <w:lang w:val="en-IE"/>
              </w:rPr>
              <w:t xml:space="preserve"> 000</w:t>
            </w:r>
          </w:p>
        </w:tc>
      </w:tr>
      <w:tr w:rsidR="00B3500A" w:rsidRPr="00CD4F28" w14:paraId="7565C75D" w14:textId="77777777" w:rsidTr="003B260F">
        <w:tc>
          <w:tcPr>
            <w:tcW w:w="3108" w:type="dxa"/>
            <w:shd w:val="clear" w:color="auto" w:fill="EEECE1" w:themeFill="background2"/>
          </w:tcPr>
          <w:p w14:paraId="3306D5B1" w14:textId="77777777" w:rsidR="00B3500A" w:rsidRPr="00CD4F28" w:rsidRDefault="00B3500A"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Total</w:t>
            </w:r>
          </w:p>
        </w:tc>
        <w:tc>
          <w:tcPr>
            <w:tcW w:w="2401" w:type="dxa"/>
            <w:shd w:val="clear" w:color="auto" w:fill="EEECE1" w:themeFill="background2"/>
            <w:vAlign w:val="center"/>
          </w:tcPr>
          <w:p w14:paraId="2840BD78" w14:textId="77777777" w:rsidR="00B3500A" w:rsidRPr="00CD4F28" w:rsidRDefault="00B3500A" w:rsidP="00A73694">
            <w:pPr>
              <w:pStyle w:val="BodyText"/>
              <w:tabs>
                <w:tab w:val="left" w:pos="0"/>
              </w:tabs>
              <w:spacing w:line="276" w:lineRule="auto"/>
              <w:ind w:right="283"/>
              <w:jc w:val="center"/>
              <w:rPr>
                <w:rFonts w:ascii="Arial" w:hAnsi="Arial" w:cs="Arial"/>
                <w:sz w:val="22"/>
                <w:szCs w:val="24"/>
                <w:lang w:val="en-IE"/>
              </w:rPr>
            </w:pPr>
          </w:p>
        </w:tc>
        <w:tc>
          <w:tcPr>
            <w:tcW w:w="1977" w:type="dxa"/>
            <w:shd w:val="clear" w:color="auto" w:fill="EEECE1" w:themeFill="background2"/>
          </w:tcPr>
          <w:p w14:paraId="56B17A16" w14:textId="77777777" w:rsidR="00B3500A" w:rsidRPr="00CD4F28" w:rsidRDefault="00B3500A" w:rsidP="00A73694">
            <w:pPr>
              <w:pStyle w:val="BodyText"/>
              <w:tabs>
                <w:tab w:val="left" w:pos="0"/>
              </w:tabs>
              <w:spacing w:line="276" w:lineRule="auto"/>
              <w:ind w:right="283"/>
              <w:jc w:val="center"/>
              <w:rPr>
                <w:rFonts w:ascii="Arial" w:hAnsi="Arial" w:cs="Arial"/>
                <w:sz w:val="22"/>
                <w:szCs w:val="24"/>
                <w:lang w:val="en-IE"/>
              </w:rPr>
            </w:pPr>
          </w:p>
        </w:tc>
        <w:tc>
          <w:tcPr>
            <w:tcW w:w="1586" w:type="dxa"/>
            <w:shd w:val="clear" w:color="auto" w:fill="EEECE1" w:themeFill="background2"/>
            <w:vAlign w:val="center"/>
          </w:tcPr>
          <w:p w14:paraId="71A5817F" w14:textId="4A593172" w:rsidR="00B3500A" w:rsidRPr="00CD4F28" w:rsidRDefault="00E03B33"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1</w:t>
            </w:r>
            <w:r w:rsidR="006843FF" w:rsidRPr="00CD4F28">
              <w:rPr>
                <w:rFonts w:ascii="Arial" w:hAnsi="Arial" w:cs="Arial"/>
                <w:b/>
                <w:sz w:val="22"/>
                <w:szCs w:val="24"/>
                <w:lang w:val="en-IE"/>
              </w:rPr>
              <w:t>1</w:t>
            </w:r>
            <w:r w:rsidRPr="00CD4F28">
              <w:rPr>
                <w:rFonts w:ascii="Arial" w:hAnsi="Arial" w:cs="Arial"/>
                <w:b/>
                <w:sz w:val="22"/>
                <w:szCs w:val="24"/>
                <w:lang w:val="en-IE"/>
              </w:rPr>
              <w:t>0</w:t>
            </w:r>
            <w:r w:rsidR="00B3500A" w:rsidRPr="00CD4F28">
              <w:rPr>
                <w:rFonts w:ascii="Arial" w:hAnsi="Arial" w:cs="Arial"/>
                <w:b/>
                <w:sz w:val="22"/>
                <w:szCs w:val="24"/>
                <w:lang w:val="en-IE"/>
              </w:rPr>
              <w:t xml:space="preserve"> 000</w:t>
            </w:r>
          </w:p>
        </w:tc>
      </w:tr>
      <w:tr w:rsidR="00B3500A" w:rsidRPr="00CD4F28" w14:paraId="4363C78B" w14:textId="77777777" w:rsidTr="003B260F">
        <w:tc>
          <w:tcPr>
            <w:tcW w:w="3108" w:type="dxa"/>
            <w:shd w:val="clear" w:color="auto" w:fill="EEECE1" w:themeFill="background2"/>
            <w:vAlign w:val="center"/>
          </w:tcPr>
          <w:p w14:paraId="5C9E4015" w14:textId="77777777" w:rsidR="00B3500A" w:rsidRPr="00CD4F28" w:rsidRDefault="00B3500A"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Human Resources (FTE)</w:t>
            </w:r>
          </w:p>
        </w:tc>
        <w:tc>
          <w:tcPr>
            <w:tcW w:w="2401" w:type="dxa"/>
            <w:shd w:val="clear" w:color="auto" w:fill="EEECE1" w:themeFill="background2"/>
            <w:vAlign w:val="center"/>
          </w:tcPr>
          <w:p w14:paraId="3E0D44DD" w14:textId="77777777" w:rsidR="00B3500A" w:rsidRPr="00CD4F28" w:rsidRDefault="00B3500A" w:rsidP="00A73694">
            <w:pPr>
              <w:pStyle w:val="BodyText"/>
              <w:tabs>
                <w:tab w:val="left" w:pos="0"/>
              </w:tabs>
              <w:spacing w:line="276" w:lineRule="auto"/>
              <w:ind w:right="283"/>
              <w:jc w:val="center"/>
              <w:rPr>
                <w:rFonts w:ascii="Arial" w:hAnsi="Arial" w:cs="Arial"/>
                <w:b/>
                <w:sz w:val="22"/>
                <w:szCs w:val="24"/>
                <w:lang w:val="en-IE"/>
              </w:rPr>
            </w:pPr>
          </w:p>
        </w:tc>
        <w:tc>
          <w:tcPr>
            <w:tcW w:w="1977" w:type="dxa"/>
            <w:shd w:val="clear" w:color="auto" w:fill="EEECE1" w:themeFill="background2"/>
            <w:vAlign w:val="center"/>
          </w:tcPr>
          <w:p w14:paraId="1E17A6F5" w14:textId="77777777" w:rsidR="00B3500A" w:rsidRPr="00CD4F28" w:rsidRDefault="00B3500A"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Q1 – Q4</w:t>
            </w:r>
          </w:p>
        </w:tc>
        <w:tc>
          <w:tcPr>
            <w:tcW w:w="1586" w:type="dxa"/>
            <w:shd w:val="clear" w:color="auto" w:fill="EEECE1" w:themeFill="background2"/>
            <w:vAlign w:val="center"/>
          </w:tcPr>
          <w:p w14:paraId="0C6CC239" w14:textId="5AA52552" w:rsidR="00B3500A"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1 - 2</w:t>
            </w:r>
          </w:p>
        </w:tc>
      </w:tr>
    </w:tbl>
    <w:p w14:paraId="53A9536C" w14:textId="77777777" w:rsidR="001D0405" w:rsidRPr="00CD4F28" w:rsidRDefault="001D0405" w:rsidP="00A73694">
      <w:pPr>
        <w:pStyle w:val="ListParagraph"/>
        <w:widowControl/>
        <w:tabs>
          <w:tab w:val="left" w:pos="0"/>
        </w:tabs>
        <w:adjustRightInd w:val="0"/>
        <w:spacing w:line="276" w:lineRule="auto"/>
        <w:ind w:right="283"/>
        <w:contextualSpacing/>
        <w:jc w:val="both"/>
        <w:rPr>
          <w:rFonts w:ascii="Arial" w:hAnsi="Arial" w:cs="Arial"/>
          <w:sz w:val="24"/>
          <w:szCs w:val="24"/>
          <w:lang w:val="en-IE"/>
        </w:rPr>
      </w:pPr>
    </w:p>
    <w:p w14:paraId="4BA58891" w14:textId="3BB3AA2B" w:rsidR="0068460C" w:rsidRPr="00CD4F28" w:rsidRDefault="00A03501" w:rsidP="00A73694">
      <w:pPr>
        <w:pStyle w:val="Heading1"/>
      </w:pPr>
      <w:bookmarkStart w:id="27" w:name="_Toc23423348"/>
      <w:bookmarkStart w:id="28" w:name="_Toc23425451"/>
      <w:bookmarkStart w:id="29" w:name="_Toc40092195"/>
      <w:r w:rsidRPr="00CD4F28">
        <w:t>2</w:t>
      </w:r>
      <w:r w:rsidR="001932F0" w:rsidRPr="00CD4F28">
        <w:t>.</w:t>
      </w:r>
      <w:r w:rsidR="000C0533">
        <w:t>5</w:t>
      </w:r>
      <w:r w:rsidR="001932F0" w:rsidRPr="00CD4F28">
        <w:t xml:space="preserve"> </w:t>
      </w:r>
      <w:r w:rsidR="00C350B1" w:rsidRPr="00CD4F28">
        <w:t>Capacity building</w:t>
      </w:r>
      <w:bookmarkEnd w:id="27"/>
      <w:bookmarkEnd w:id="29"/>
    </w:p>
    <w:bookmarkEnd w:id="28"/>
    <w:p w14:paraId="25D966FE" w14:textId="77777777" w:rsidR="00C350B1" w:rsidRPr="00CD4F28" w:rsidRDefault="00C350B1" w:rsidP="00A73694">
      <w:pPr>
        <w:pStyle w:val="BodyText"/>
        <w:tabs>
          <w:tab w:val="left" w:pos="0"/>
        </w:tabs>
        <w:spacing w:line="276" w:lineRule="auto"/>
        <w:ind w:right="283"/>
        <w:jc w:val="both"/>
        <w:rPr>
          <w:rFonts w:ascii="Arial" w:hAnsi="Arial" w:cs="Arial"/>
          <w:sz w:val="24"/>
          <w:szCs w:val="24"/>
          <w:lang w:val="en-IE"/>
        </w:rPr>
      </w:pPr>
    </w:p>
    <w:p w14:paraId="193112FA" w14:textId="10C2B9F3" w:rsidR="00A94914" w:rsidRPr="00CD4F28" w:rsidRDefault="00A52C13"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is tasked with supporting Member States </w:t>
      </w:r>
      <w:r w:rsidR="007C0D64" w:rsidRPr="00CD4F28">
        <w:rPr>
          <w:rFonts w:ascii="Arial" w:hAnsi="Arial" w:cs="Arial"/>
          <w:sz w:val="24"/>
          <w:szCs w:val="24"/>
          <w:lang w:val="en-IE"/>
        </w:rPr>
        <w:t>in</w:t>
      </w:r>
      <w:r w:rsidRPr="00CD4F28">
        <w:rPr>
          <w:rFonts w:ascii="Arial" w:hAnsi="Arial" w:cs="Arial"/>
          <w:sz w:val="24"/>
          <w:szCs w:val="24"/>
          <w:lang w:val="en-IE"/>
        </w:rPr>
        <w:t xml:space="preserve"> building the necessary capacities </w:t>
      </w:r>
      <w:r w:rsidR="001932F0" w:rsidRPr="00CD4F28">
        <w:rPr>
          <w:rFonts w:ascii="Arial" w:hAnsi="Arial" w:cs="Arial"/>
          <w:sz w:val="24"/>
          <w:szCs w:val="24"/>
          <w:lang w:val="en-IE"/>
        </w:rPr>
        <w:t xml:space="preserve">at national level </w:t>
      </w:r>
      <w:r w:rsidRPr="00CD4F28">
        <w:rPr>
          <w:rFonts w:ascii="Arial" w:hAnsi="Arial" w:cs="Arial"/>
          <w:sz w:val="24"/>
          <w:szCs w:val="24"/>
          <w:lang w:val="en-IE"/>
        </w:rPr>
        <w:t xml:space="preserve">to enforce </w:t>
      </w:r>
      <w:r w:rsidR="001932F0" w:rsidRPr="00CD4F28">
        <w:rPr>
          <w:rFonts w:ascii="Arial" w:hAnsi="Arial" w:cs="Arial"/>
          <w:sz w:val="24"/>
          <w:szCs w:val="24"/>
          <w:lang w:val="en-IE"/>
        </w:rPr>
        <w:t>labour mobility legislation consistently and effectively. The founding Regulation lists a number of possible actions that the Authority could undertake to this purpose (see box below).</w:t>
      </w:r>
    </w:p>
    <w:p w14:paraId="0A0F62C1" w14:textId="77777777" w:rsidR="00A52C13" w:rsidRPr="00CD4F28" w:rsidRDefault="00A52C13" w:rsidP="00A73694">
      <w:pPr>
        <w:pStyle w:val="BodyText"/>
        <w:tabs>
          <w:tab w:val="left" w:pos="0"/>
        </w:tabs>
        <w:spacing w:line="276" w:lineRule="auto"/>
        <w:ind w:right="283"/>
        <w:rPr>
          <w:rFonts w:ascii="Arial"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ook w:val="04A0" w:firstRow="1" w:lastRow="0" w:firstColumn="1" w:lastColumn="0" w:noHBand="0" w:noVBand="1"/>
      </w:tblPr>
      <w:tblGrid>
        <w:gridCol w:w="9180"/>
      </w:tblGrid>
      <w:tr w:rsidR="00357947" w:rsidRPr="00CD4F28" w14:paraId="22DDD983" w14:textId="77777777" w:rsidTr="003B260F">
        <w:tc>
          <w:tcPr>
            <w:tcW w:w="9180" w:type="dxa"/>
            <w:shd w:val="clear" w:color="auto" w:fill="F2F2F2" w:themeFill="background1" w:themeFillShade="F2"/>
          </w:tcPr>
          <w:p w14:paraId="3602E98C" w14:textId="74DCA0C7" w:rsidR="00357947" w:rsidRPr="00CD4F28" w:rsidRDefault="00357947" w:rsidP="00A73694">
            <w:pPr>
              <w:pStyle w:val="BodyText"/>
              <w:tabs>
                <w:tab w:val="left" w:pos="0"/>
              </w:tabs>
              <w:spacing w:line="276" w:lineRule="auto"/>
              <w:ind w:right="283"/>
              <w:rPr>
                <w:rFonts w:ascii="Arial" w:hAnsi="Arial" w:cs="Arial"/>
                <w:sz w:val="24"/>
                <w:szCs w:val="24"/>
                <w:lang w:val="en-IE"/>
              </w:rPr>
            </w:pPr>
            <w:r w:rsidRPr="00CD4F28">
              <w:rPr>
                <w:rFonts w:ascii="Arial" w:hAnsi="Arial" w:cs="Arial"/>
                <w:b/>
                <w:sz w:val="24"/>
                <w:szCs w:val="24"/>
                <w:lang w:val="en-IE"/>
              </w:rPr>
              <w:t>Article 11</w:t>
            </w:r>
            <w:r w:rsidRPr="00CD4F28">
              <w:rPr>
                <w:rFonts w:ascii="Arial" w:hAnsi="Arial" w:cs="Arial"/>
                <w:sz w:val="24"/>
                <w:szCs w:val="24"/>
                <w:lang w:val="en-IE"/>
              </w:rPr>
              <w:t xml:space="preserve"> of the Regulation lists the following actions that </w:t>
            </w:r>
            <w:r w:rsidR="00F7153C" w:rsidRPr="00CD4F28">
              <w:rPr>
                <w:rFonts w:ascii="Arial" w:hAnsi="Arial" w:cs="Arial"/>
                <w:sz w:val="24"/>
                <w:szCs w:val="24"/>
                <w:lang w:val="en-IE"/>
              </w:rPr>
              <w:t xml:space="preserve">the Authority </w:t>
            </w:r>
            <w:r w:rsidRPr="00CD4F28">
              <w:rPr>
                <w:rFonts w:ascii="Arial" w:hAnsi="Arial" w:cs="Arial"/>
                <w:sz w:val="24"/>
                <w:szCs w:val="24"/>
                <w:lang w:val="en-IE"/>
              </w:rPr>
              <w:t>is expected to undertake to support capacity building:</w:t>
            </w:r>
          </w:p>
          <w:p w14:paraId="28C66CD0" w14:textId="23D19ABB"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Develop</w:t>
            </w:r>
            <w:r w:rsidR="00F7153C" w:rsidRPr="00CD4F28">
              <w:rPr>
                <w:rFonts w:ascii="Arial" w:hAnsi="Arial" w:cs="Arial"/>
                <w:sz w:val="24"/>
                <w:szCs w:val="24"/>
                <w:lang w:val="en-IE"/>
              </w:rPr>
              <w:t>ment of</w:t>
            </w:r>
            <w:r w:rsidRPr="00CD4F28">
              <w:rPr>
                <w:rFonts w:ascii="Arial" w:hAnsi="Arial" w:cs="Arial"/>
                <w:sz w:val="24"/>
                <w:szCs w:val="24"/>
                <w:lang w:val="en-IE"/>
              </w:rPr>
              <w:t xml:space="preserve"> non-binding </w:t>
            </w:r>
            <w:r w:rsidR="000A6524" w:rsidRPr="00CD4F28">
              <w:rPr>
                <w:rFonts w:ascii="Arial" w:hAnsi="Arial" w:cs="Arial"/>
                <w:sz w:val="24"/>
                <w:szCs w:val="24"/>
                <w:lang w:val="en-IE"/>
              </w:rPr>
              <w:t>guidelines;</w:t>
            </w:r>
          </w:p>
          <w:p w14:paraId="5F492FF1" w14:textId="77777777"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Promote mutual assistance, staff exchanges;</w:t>
            </w:r>
          </w:p>
          <w:p w14:paraId="15C11C3A" w14:textId="77777777"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Support exchange of good practices;</w:t>
            </w:r>
          </w:p>
          <w:p w14:paraId="2C649139" w14:textId="77777777"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Develop training programmes and training material;</w:t>
            </w:r>
          </w:p>
          <w:p w14:paraId="5968C1C0" w14:textId="4F10EE26" w:rsidR="00357947" w:rsidRPr="00CD4F28" w:rsidRDefault="00357947"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Promote awareness-raising campaigns. </w:t>
            </w:r>
          </w:p>
        </w:tc>
      </w:tr>
    </w:tbl>
    <w:p w14:paraId="43910D79" w14:textId="034F68F1" w:rsidR="006D10B1" w:rsidRPr="00CD4F28" w:rsidRDefault="006D10B1" w:rsidP="00A73694">
      <w:pPr>
        <w:pStyle w:val="BodyText"/>
        <w:tabs>
          <w:tab w:val="left" w:pos="0"/>
        </w:tabs>
        <w:spacing w:line="276" w:lineRule="auto"/>
        <w:ind w:right="283"/>
        <w:jc w:val="both"/>
        <w:rPr>
          <w:rFonts w:ascii="Arial" w:hAnsi="Arial" w:cs="Arial"/>
          <w:sz w:val="24"/>
          <w:szCs w:val="24"/>
          <w:lang w:val="en-IE"/>
        </w:rPr>
      </w:pPr>
    </w:p>
    <w:p w14:paraId="43E15FA6" w14:textId="77777777" w:rsidR="00120CC6" w:rsidRDefault="00120CC6" w:rsidP="00A73694">
      <w:pPr>
        <w:pStyle w:val="BodyText"/>
        <w:tabs>
          <w:tab w:val="left" w:pos="0"/>
        </w:tabs>
        <w:spacing w:line="276" w:lineRule="auto"/>
        <w:ind w:right="283"/>
        <w:jc w:val="both"/>
        <w:rPr>
          <w:rFonts w:ascii="Arial" w:hAnsi="Arial" w:cs="Arial"/>
          <w:sz w:val="24"/>
          <w:szCs w:val="24"/>
          <w:u w:val="single"/>
          <w:lang w:val="en-IE"/>
        </w:rPr>
      </w:pPr>
    </w:p>
    <w:p w14:paraId="568989FC" w14:textId="77777777" w:rsidR="00120CC6" w:rsidRDefault="00120CC6" w:rsidP="00A73694">
      <w:pPr>
        <w:pStyle w:val="BodyText"/>
        <w:tabs>
          <w:tab w:val="left" w:pos="0"/>
        </w:tabs>
        <w:spacing w:line="276" w:lineRule="auto"/>
        <w:ind w:right="283"/>
        <w:jc w:val="both"/>
        <w:rPr>
          <w:rFonts w:ascii="Arial" w:hAnsi="Arial" w:cs="Arial"/>
          <w:sz w:val="24"/>
          <w:szCs w:val="24"/>
          <w:u w:val="single"/>
          <w:lang w:val="en-IE"/>
        </w:rPr>
      </w:pPr>
    </w:p>
    <w:p w14:paraId="1879A0AC" w14:textId="49DDA180" w:rsidR="006D10B1" w:rsidRPr="00CD4F28" w:rsidRDefault="006D10B1" w:rsidP="00A73694">
      <w:pPr>
        <w:pStyle w:val="BodyText"/>
        <w:tabs>
          <w:tab w:val="left" w:pos="0"/>
        </w:tabs>
        <w:spacing w:line="276" w:lineRule="auto"/>
        <w:ind w:right="283"/>
        <w:jc w:val="both"/>
        <w:rPr>
          <w:rFonts w:ascii="Arial" w:hAnsi="Arial" w:cs="Arial"/>
          <w:sz w:val="24"/>
          <w:szCs w:val="24"/>
          <w:u w:val="single"/>
          <w:lang w:val="en-IE"/>
        </w:rPr>
      </w:pPr>
      <w:r w:rsidRPr="00CD4F28">
        <w:rPr>
          <w:rFonts w:ascii="Arial" w:hAnsi="Arial" w:cs="Arial"/>
          <w:sz w:val="24"/>
          <w:szCs w:val="24"/>
          <w:u w:val="single"/>
          <w:lang w:val="en-IE"/>
        </w:rPr>
        <w:t>Key objective</w:t>
      </w:r>
    </w:p>
    <w:p w14:paraId="22B7052C" w14:textId="77777777" w:rsidR="0081522B" w:rsidRPr="00CD4F28" w:rsidRDefault="0081522B" w:rsidP="00A73694">
      <w:pPr>
        <w:pStyle w:val="BodyText"/>
        <w:tabs>
          <w:tab w:val="left" w:pos="0"/>
        </w:tabs>
        <w:spacing w:line="276" w:lineRule="auto"/>
        <w:ind w:right="283"/>
        <w:rPr>
          <w:rFonts w:ascii="Arial" w:hAnsi="Arial" w:cs="Arial"/>
          <w:sz w:val="24"/>
          <w:szCs w:val="24"/>
          <w:lang w:val="en-IE"/>
        </w:rPr>
      </w:pPr>
    </w:p>
    <w:p w14:paraId="09A4C5E5" w14:textId="24246157" w:rsidR="00587E33" w:rsidRPr="00CD4F28" w:rsidRDefault="006D10B1"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Offering adequate training programmes and learning material to inspection authorities’ officers involved in carrying out concerted and joint inspections, and </w:t>
      </w:r>
      <w:r w:rsidR="00D30818" w:rsidRPr="00CD4F28">
        <w:rPr>
          <w:rFonts w:ascii="Arial" w:hAnsi="Arial" w:cs="Arial"/>
          <w:sz w:val="24"/>
          <w:szCs w:val="24"/>
          <w:lang w:val="en-IE"/>
        </w:rPr>
        <w:t xml:space="preserve">staff </w:t>
      </w:r>
      <w:r w:rsidR="00D30818" w:rsidRPr="00CD4F28">
        <w:rPr>
          <w:rFonts w:ascii="Arial" w:hAnsi="Arial" w:cs="Arial"/>
          <w:sz w:val="24"/>
          <w:szCs w:val="24"/>
          <w:lang w:val="en-IE"/>
        </w:rPr>
        <w:lastRenderedPageBreak/>
        <w:t xml:space="preserve">recruited by the Authority, including the </w:t>
      </w:r>
      <w:r w:rsidRPr="00CD4F28">
        <w:rPr>
          <w:rFonts w:ascii="Arial" w:hAnsi="Arial" w:cs="Arial"/>
          <w:sz w:val="24"/>
          <w:szCs w:val="24"/>
          <w:lang w:val="en-IE"/>
        </w:rPr>
        <w:t>National Liaison Officers.</w:t>
      </w:r>
    </w:p>
    <w:p w14:paraId="23177B2A" w14:textId="63E3A9D3" w:rsidR="00587E33" w:rsidRPr="00CD4F28" w:rsidRDefault="00587E33" w:rsidP="00A73694">
      <w:pPr>
        <w:pStyle w:val="BodyText"/>
        <w:tabs>
          <w:tab w:val="left" w:pos="0"/>
        </w:tabs>
        <w:spacing w:line="276" w:lineRule="auto"/>
        <w:ind w:right="283"/>
        <w:rPr>
          <w:rFonts w:ascii="Arial" w:hAnsi="Arial" w:cs="Arial"/>
          <w:b/>
          <w:sz w:val="24"/>
          <w:szCs w:val="24"/>
          <w:lang w:val="en-IE"/>
        </w:rPr>
      </w:pPr>
    </w:p>
    <w:p w14:paraId="1A0CA08E" w14:textId="38B19F72" w:rsidR="0081522B" w:rsidRPr="00CD4F28" w:rsidRDefault="003B260F" w:rsidP="00A73694">
      <w:pPr>
        <w:pStyle w:val="BodyText"/>
        <w:tabs>
          <w:tab w:val="left" w:pos="0"/>
        </w:tabs>
        <w:spacing w:line="276" w:lineRule="auto"/>
        <w:ind w:right="283"/>
        <w:jc w:val="both"/>
        <w:rPr>
          <w:rFonts w:ascii="Arial" w:hAnsi="Arial" w:cs="Arial"/>
          <w:sz w:val="24"/>
          <w:szCs w:val="24"/>
          <w:u w:val="single"/>
          <w:lang w:val="en-IE"/>
        </w:rPr>
      </w:pPr>
      <w:r>
        <w:rPr>
          <w:rFonts w:ascii="Arial" w:hAnsi="Arial" w:cs="Arial"/>
          <w:sz w:val="24"/>
          <w:szCs w:val="24"/>
          <w:u w:val="single"/>
          <w:lang w:val="en-IE"/>
        </w:rPr>
        <w:t>Main actions and outputs</w:t>
      </w:r>
    </w:p>
    <w:p w14:paraId="302BDF12" w14:textId="77777777" w:rsidR="009C07E2" w:rsidRPr="00CD4F28" w:rsidRDefault="009C07E2" w:rsidP="00A73694">
      <w:pPr>
        <w:pStyle w:val="BodyText"/>
        <w:tabs>
          <w:tab w:val="left" w:pos="0"/>
        </w:tabs>
        <w:spacing w:line="276" w:lineRule="auto"/>
        <w:ind w:right="283"/>
        <w:jc w:val="both"/>
        <w:rPr>
          <w:rFonts w:ascii="Arial" w:hAnsi="Arial" w:cs="Arial"/>
          <w:b/>
          <w:sz w:val="24"/>
          <w:szCs w:val="24"/>
          <w:lang w:val="en-IE"/>
        </w:rPr>
      </w:pPr>
    </w:p>
    <w:p w14:paraId="157F316B" w14:textId="714F0F40" w:rsidR="00C16A74" w:rsidRPr="00CD4F28" w:rsidRDefault="000C0533" w:rsidP="00A73694">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2.5</w:t>
      </w:r>
      <w:r w:rsidR="00A03501" w:rsidRPr="00CD4F28">
        <w:rPr>
          <w:rFonts w:ascii="Arial" w:hAnsi="Arial" w:cs="Arial"/>
          <w:b/>
          <w:sz w:val="24"/>
          <w:szCs w:val="24"/>
          <w:lang w:val="en-IE"/>
        </w:rPr>
        <w:t xml:space="preserve">.1 </w:t>
      </w:r>
      <w:r w:rsidR="00C16A74" w:rsidRPr="00CD4F28">
        <w:rPr>
          <w:rFonts w:ascii="Arial" w:hAnsi="Arial" w:cs="Arial"/>
          <w:b/>
          <w:sz w:val="24"/>
          <w:szCs w:val="24"/>
          <w:lang w:val="en-IE"/>
        </w:rPr>
        <w:t>Training for inspectors and Authority staff, including National Liaison Officers</w:t>
      </w:r>
    </w:p>
    <w:p w14:paraId="29979D51" w14:textId="6814CCC5" w:rsidR="00C16A74" w:rsidRPr="00CD4F28" w:rsidRDefault="00C16A74" w:rsidP="00A73694">
      <w:pPr>
        <w:pStyle w:val="BodyText"/>
        <w:tabs>
          <w:tab w:val="left" w:pos="0"/>
        </w:tabs>
        <w:spacing w:line="276" w:lineRule="auto"/>
        <w:ind w:right="283"/>
        <w:jc w:val="both"/>
        <w:rPr>
          <w:rFonts w:ascii="Arial" w:hAnsi="Arial" w:cs="Arial"/>
          <w:sz w:val="24"/>
          <w:szCs w:val="24"/>
          <w:lang w:val="en-IE"/>
        </w:rPr>
      </w:pPr>
    </w:p>
    <w:p w14:paraId="01007FC1" w14:textId="3DAB25CB" w:rsidR="00AB3B89" w:rsidRPr="00CD4F28" w:rsidRDefault="00AB3B89"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In line with th</w:t>
      </w:r>
      <w:r w:rsidR="00E7293B" w:rsidRPr="00CD4F28">
        <w:rPr>
          <w:rFonts w:ascii="Arial" w:hAnsi="Arial" w:cs="Arial"/>
          <w:sz w:val="24"/>
          <w:szCs w:val="24"/>
          <w:lang w:val="en-IE"/>
        </w:rPr>
        <w:t>e action planned under section 2</w:t>
      </w:r>
      <w:r w:rsidRPr="00CD4F28">
        <w:rPr>
          <w:rFonts w:ascii="Arial" w:hAnsi="Arial" w:cs="Arial"/>
          <w:sz w:val="24"/>
          <w:szCs w:val="24"/>
          <w:lang w:val="en-IE"/>
        </w:rPr>
        <w:t>.2 on inspections, the Authority will organise mutual learning and training activities tailored on national inspectorate’s staff participating in cross-border activities. Moreover, the Authority will organise internal training sessions on EU labour mobility legislation, processes and tools targeted at its staff</w:t>
      </w:r>
      <w:r w:rsidR="00E7293B" w:rsidRPr="00CD4F28">
        <w:rPr>
          <w:rFonts w:ascii="Arial" w:hAnsi="Arial" w:cs="Arial"/>
          <w:sz w:val="24"/>
          <w:szCs w:val="24"/>
          <w:lang w:val="en-IE"/>
        </w:rPr>
        <w:t>,</w:t>
      </w:r>
      <w:r w:rsidRPr="00CD4F28">
        <w:rPr>
          <w:rFonts w:ascii="Arial" w:hAnsi="Arial" w:cs="Arial"/>
          <w:sz w:val="24"/>
          <w:szCs w:val="24"/>
          <w:lang w:val="en-IE"/>
        </w:rPr>
        <w:t xml:space="preserve"> including National Liaison Officers.</w:t>
      </w:r>
    </w:p>
    <w:p w14:paraId="55B4A82B" w14:textId="77777777" w:rsidR="00C16A74" w:rsidRPr="00CD4F28" w:rsidRDefault="00C16A74" w:rsidP="00A73694">
      <w:pPr>
        <w:pStyle w:val="BodyText"/>
        <w:tabs>
          <w:tab w:val="left" w:pos="0"/>
        </w:tabs>
        <w:spacing w:line="276" w:lineRule="auto"/>
        <w:ind w:right="283"/>
        <w:jc w:val="both"/>
        <w:rPr>
          <w:rFonts w:ascii="Arial" w:hAnsi="Arial" w:cs="Arial"/>
          <w:sz w:val="24"/>
          <w:szCs w:val="24"/>
          <w:lang w:val="en-IE"/>
        </w:rPr>
      </w:pPr>
    </w:p>
    <w:p w14:paraId="6B69ECDB" w14:textId="7192A492" w:rsidR="00C16A74" w:rsidRPr="00CD4F28" w:rsidRDefault="000C0533" w:rsidP="00A73694">
      <w:pPr>
        <w:pStyle w:val="BodyText"/>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t>2.5</w:t>
      </w:r>
      <w:r w:rsidR="00C16A74" w:rsidRPr="00CD4F28">
        <w:rPr>
          <w:rFonts w:ascii="Arial" w:hAnsi="Arial" w:cs="Arial"/>
          <w:b/>
          <w:sz w:val="24"/>
          <w:szCs w:val="24"/>
          <w:lang w:val="en-IE"/>
        </w:rPr>
        <w:t>.</w:t>
      </w:r>
      <w:r w:rsidR="00A03501" w:rsidRPr="00CD4F28">
        <w:rPr>
          <w:rFonts w:ascii="Arial" w:hAnsi="Arial" w:cs="Arial"/>
          <w:b/>
          <w:sz w:val="24"/>
          <w:szCs w:val="24"/>
          <w:lang w:val="en-IE"/>
        </w:rPr>
        <w:t xml:space="preserve">2 </w:t>
      </w:r>
      <w:r w:rsidR="00C16A74" w:rsidRPr="00CD4F28">
        <w:rPr>
          <w:rFonts w:ascii="Arial" w:hAnsi="Arial" w:cs="Arial"/>
          <w:b/>
          <w:sz w:val="24"/>
          <w:szCs w:val="24"/>
          <w:lang w:val="en-IE"/>
        </w:rPr>
        <w:t>Participating in the campaign for Declared Work</w:t>
      </w:r>
    </w:p>
    <w:p w14:paraId="2B22D6B7" w14:textId="77777777" w:rsidR="00C16A74" w:rsidRPr="00CD4F28" w:rsidRDefault="00C16A74" w:rsidP="00A73694">
      <w:pPr>
        <w:pStyle w:val="BodyText"/>
        <w:tabs>
          <w:tab w:val="left" w:pos="0"/>
        </w:tabs>
        <w:spacing w:line="276" w:lineRule="auto"/>
        <w:ind w:right="283"/>
        <w:jc w:val="both"/>
        <w:rPr>
          <w:rFonts w:ascii="Arial" w:hAnsi="Arial" w:cs="Arial"/>
          <w:sz w:val="24"/>
          <w:szCs w:val="24"/>
          <w:lang w:val="en-IE"/>
        </w:rPr>
      </w:pPr>
    </w:p>
    <w:p w14:paraId="7CE14843" w14:textId="564DADA9" w:rsidR="0081522B" w:rsidRPr="00CD4F28" w:rsidRDefault="00AB3B89"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T</w:t>
      </w:r>
      <w:r w:rsidR="0081522B" w:rsidRPr="00CD4F28">
        <w:rPr>
          <w:rFonts w:ascii="Arial" w:hAnsi="Arial" w:cs="Arial"/>
          <w:sz w:val="24"/>
          <w:szCs w:val="24"/>
          <w:lang w:val="en-IE"/>
        </w:rPr>
        <w:t xml:space="preserve">he Authority will participate in the campaign on “Declared Work” organised by the </w:t>
      </w:r>
      <w:r w:rsidRPr="00CD4F28">
        <w:rPr>
          <w:rFonts w:ascii="Arial" w:hAnsi="Arial" w:cs="Arial"/>
          <w:sz w:val="24"/>
          <w:szCs w:val="24"/>
          <w:lang w:val="en-IE"/>
        </w:rPr>
        <w:t xml:space="preserve">European </w:t>
      </w:r>
      <w:r w:rsidR="0081522B" w:rsidRPr="00CD4F28">
        <w:rPr>
          <w:rFonts w:ascii="Arial" w:hAnsi="Arial" w:cs="Arial"/>
          <w:sz w:val="24"/>
          <w:szCs w:val="24"/>
          <w:lang w:val="en-IE"/>
        </w:rPr>
        <w:t>Platform tackling undeclared work</w:t>
      </w:r>
      <w:r w:rsidRPr="00CD4F28">
        <w:rPr>
          <w:rFonts w:ascii="Arial" w:hAnsi="Arial" w:cs="Arial"/>
          <w:sz w:val="24"/>
          <w:szCs w:val="24"/>
          <w:lang w:val="en-IE"/>
        </w:rPr>
        <w:t>, as approved in the Work Programme 2019.</w:t>
      </w:r>
      <w:r w:rsidR="00673F94" w:rsidRPr="00CD4F28">
        <w:rPr>
          <w:rFonts w:ascii="Arial" w:hAnsi="Arial" w:cs="Arial"/>
          <w:sz w:val="24"/>
          <w:szCs w:val="24"/>
          <w:lang w:val="en-IE"/>
        </w:rPr>
        <w:t xml:space="preserve"> The campaign will start in 2019 and continue over the course of 2020.</w:t>
      </w:r>
      <w:r w:rsidRPr="00CD4F28">
        <w:rPr>
          <w:rFonts w:ascii="Arial" w:hAnsi="Arial" w:cs="Arial"/>
          <w:sz w:val="24"/>
          <w:szCs w:val="24"/>
          <w:lang w:val="en-IE"/>
        </w:rPr>
        <w:t xml:space="preserve"> </w:t>
      </w:r>
      <w:r w:rsidR="0081522B" w:rsidRPr="00CD4F28">
        <w:rPr>
          <w:rFonts w:ascii="Arial" w:hAnsi="Arial" w:cs="Arial"/>
          <w:sz w:val="24"/>
          <w:szCs w:val="24"/>
          <w:lang w:val="en-IE"/>
        </w:rPr>
        <w:t xml:space="preserve"> </w:t>
      </w:r>
    </w:p>
    <w:p w14:paraId="1F76EE9B" w14:textId="77777777" w:rsidR="00B877BC" w:rsidRPr="00CD4F28" w:rsidRDefault="00B877BC" w:rsidP="00A73694">
      <w:pPr>
        <w:pStyle w:val="BodyText"/>
        <w:tabs>
          <w:tab w:val="left" w:pos="0"/>
        </w:tabs>
        <w:spacing w:line="276" w:lineRule="auto"/>
        <w:ind w:right="283"/>
        <w:jc w:val="both"/>
        <w:rPr>
          <w:rFonts w:ascii="Arial" w:hAnsi="Arial" w:cs="Arial"/>
          <w:sz w:val="24"/>
          <w:szCs w:val="24"/>
          <w:lang w:val="en-IE"/>
        </w:rPr>
      </w:pPr>
    </w:p>
    <w:tbl>
      <w:tblPr>
        <w:tblStyle w:val="TableGrid"/>
        <w:tblW w:w="9072" w:type="dxa"/>
        <w:tblInd w:w="108" w:type="dxa"/>
        <w:tblLook w:val="04A0" w:firstRow="1" w:lastRow="0" w:firstColumn="1" w:lastColumn="0" w:noHBand="0" w:noVBand="1"/>
      </w:tblPr>
      <w:tblGrid>
        <w:gridCol w:w="2336"/>
        <w:gridCol w:w="2414"/>
        <w:gridCol w:w="1487"/>
        <w:gridCol w:w="1418"/>
        <w:gridCol w:w="1417"/>
      </w:tblGrid>
      <w:tr w:rsidR="00B877BC" w:rsidRPr="00CD4F28" w14:paraId="1ADD9D84" w14:textId="77777777" w:rsidTr="0056195E">
        <w:tc>
          <w:tcPr>
            <w:tcW w:w="2336" w:type="dxa"/>
            <w:vAlign w:val="center"/>
          </w:tcPr>
          <w:p w14:paraId="5E90BD23" w14:textId="0F3A9881"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Activities</w:t>
            </w:r>
          </w:p>
        </w:tc>
        <w:tc>
          <w:tcPr>
            <w:tcW w:w="2414" w:type="dxa"/>
            <w:vAlign w:val="center"/>
          </w:tcPr>
          <w:p w14:paraId="71B4C54C" w14:textId="77777777"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Method</w:t>
            </w:r>
          </w:p>
        </w:tc>
        <w:tc>
          <w:tcPr>
            <w:tcW w:w="1487" w:type="dxa"/>
          </w:tcPr>
          <w:p w14:paraId="4DC192D9" w14:textId="1FBBA53E"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 xml:space="preserve">2019 </w:t>
            </w:r>
          </w:p>
        </w:tc>
        <w:tc>
          <w:tcPr>
            <w:tcW w:w="1418" w:type="dxa"/>
            <w:vAlign w:val="center"/>
          </w:tcPr>
          <w:p w14:paraId="762A1997" w14:textId="5C641E9C"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Time</w:t>
            </w:r>
          </w:p>
        </w:tc>
        <w:tc>
          <w:tcPr>
            <w:tcW w:w="1417" w:type="dxa"/>
            <w:vAlign w:val="center"/>
          </w:tcPr>
          <w:p w14:paraId="485909E6" w14:textId="65E3FB3C"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2020 Estimate</w:t>
            </w:r>
          </w:p>
        </w:tc>
      </w:tr>
      <w:tr w:rsidR="00B877BC" w:rsidRPr="00CD4F28" w14:paraId="328B309F" w14:textId="77777777" w:rsidTr="0056195E">
        <w:tc>
          <w:tcPr>
            <w:tcW w:w="2336" w:type="dxa"/>
            <w:vAlign w:val="center"/>
          </w:tcPr>
          <w:p w14:paraId="42F08614" w14:textId="06819239" w:rsidR="00B877BC" w:rsidRPr="00CD4F28" w:rsidRDefault="00B877BC"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Campaign on “Declared Work”</w:t>
            </w:r>
          </w:p>
        </w:tc>
        <w:tc>
          <w:tcPr>
            <w:tcW w:w="2414" w:type="dxa"/>
            <w:vAlign w:val="center"/>
          </w:tcPr>
          <w:p w14:paraId="20547ECA" w14:textId="77777777" w:rsidR="00B877BC" w:rsidRPr="00CD4F28" w:rsidRDefault="00B877BC"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Contract for services</w:t>
            </w:r>
          </w:p>
        </w:tc>
        <w:tc>
          <w:tcPr>
            <w:tcW w:w="1487" w:type="dxa"/>
            <w:vAlign w:val="center"/>
          </w:tcPr>
          <w:p w14:paraId="317C99FC" w14:textId="5A3E4A7D" w:rsidR="00B877BC" w:rsidRPr="00CD4F28" w:rsidRDefault="00B877BC"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250 000</w:t>
            </w:r>
          </w:p>
        </w:tc>
        <w:tc>
          <w:tcPr>
            <w:tcW w:w="1418" w:type="dxa"/>
            <w:vAlign w:val="center"/>
          </w:tcPr>
          <w:p w14:paraId="6A6A9104" w14:textId="77AE672B" w:rsidR="00B877BC" w:rsidRPr="00CD4F28" w:rsidRDefault="00B877BC"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Q1 – Q2</w:t>
            </w:r>
          </w:p>
        </w:tc>
        <w:tc>
          <w:tcPr>
            <w:tcW w:w="1417" w:type="dxa"/>
            <w:vAlign w:val="center"/>
          </w:tcPr>
          <w:p w14:paraId="238EA636" w14:textId="6AA53C59" w:rsidR="00B877BC" w:rsidRPr="00CD4F28" w:rsidRDefault="00B877BC" w:rsidP="00A73694">
            <w:pPr>
              <w:pStyle w:val="BodyText"/>
              <w:tabs>
                <w:tab w:val="left" w:pos="0"/>
              </w:tabs>
              <w:spacing w:line="276" w:lineRule="auto"/>
              <w:ind w:right="283"/>
              <w:jc w:val="center"/>
              <w:rPr>
                <w:rFonts w:ascii="Arial" w:hAnsi="Arial" w:cs="Arial"/>
                <w:sz w:val="22"/>
                <w:szCs w:val="24"/>
                <w:lang w:val="en-IE"/>
              </w:rPr>
            </w:pPr>
          </w:p>
        </w:tc>
      </w:tr>
      <w:tr w:rsidR="00B877BC" w:rsidRPr="00CD4F28" w14:paraId="424DE0D9" w14:textId="77777777" w:rsidTr="0056195E">
        <w:tc>
          <w:tcPr>
            <w:tcW w:w="2336" w:type="dxa"/>
            <w:shd w:val="clear" w:color="auto" w:fill="EEECE1" w:themeFill="background2"/>
          </w:tcPr>
          <w:p w14:paraId="20D516C9" w14:textId="77777777" w:rsidR="00B877BC" w:rsidRPr="00CD4F28" w:rsidRDefault="00B877BC"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Total</w:t>
            </w:r>
          </w:p>
        </w:tc>
        <w:tc>
          <w:tcPr>
            <w:tcW w:w="2414" w:type="dxa"/>
            <w:shd w:val="clear" w:color="auto" w:fill="EEECE1" w:themeFill="background2"/>
          </w:tcPr>
          <w:p w14:paraId="29D7DA63" w14:textId="77777777" w:rsidR="00B877BC" w:rsidRPr="00CD4F28" w:rsidRDefault="00B877BC" w:rsidP="00A73694">
            <w:pPr>
              <w:pStyle w:val="BodyText"/>
              <w:tabs>
                <w:tab w:val="left" w:pos="0"/>
              </w:tabs>
              <w:spacing w:line="276" w:lineRule="auto"/>
              <w:ind w:right="283"/>
              <w:rPr>
                <w:rFonts w:ascii="Arial" w:hAnsi="Arial" w:cs="Arial"/>
                <w:sz w:val="22"/>
                <w:szCs w:val="24"/>
                <w:lang w:val="en-IE"/>
              </w:rPr>
            </w:pPr>
          </w:p>
        </w:tc>
        <w:tc>
          <w:tcPr>
            <w:tcW w:w="1487" w:type="dxa"/>
            <w:shd w:val="clear" w:color="auto" w:fill="EEECE1" w:themeFill="background2"/>
          </w:tcPr>
          <w:p w14:paraId="2EE19C83" w14:textId="1E585D0A"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250 000</w:t>
            </w:r>
          </w:p>
        </w:tc>
        <w:tc>
          <w:tcPr>
            <w:tcW w:w="1418" w:type="dxa"/>
            <w:shd w:val="clear" w:color="auto" w:fill="EEECE1" w:themeFill="background2"/>
          </w:tcPr>
          <w:p w14:paraId="4EA153F1" w14:textId="77777777" w:rsidR="00B877BC" w:rsidRPr="00CD4F28" w:rsidRDefault="00B877BC" w:rsidP="00A73694">
            <w:pPr>
              <w:pStyle w:val="BodyText"/>
              <w:tabs>
                <w:tab w:val="left" w:pos="0"/>
              </w:tabs>
              <w:spacing w:line="276" w:lineRule="auto"/>
              <w:ind w:right="283"/>
              <w:jc w:val="right"/>
              <w:rPr>
                <w:rFonts w:ascii="Arial" w:hAnsi="Arial" w:cs="Arial"/>
                <w:b/>
                <w:sz w:val="22"/>
                <w:szCs w:val="24"/>
                <w:lang w:val="en-IE"/>
              </w:rPr>
            </w:pPr>
          </w:p>
        </w:tc>
        <w:tc>
          <w:tcPr>
            <w:tcW w:w="1417" w:type="dxa"/>
            <w:shd w:val="clear" w:color="auto" w:fill="EEECE1" w:themeFill="background2"/>
            <w:vAlign w:val="center"/>
          </w:tcPr>
          <w:p w14:paraId="6B449D27" w14:textId="4C6C0A31"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p>
        </w:tc>
      </w:tr>
      <w:tr w:rsidR="00B877BC" w:rsidRPr="00CD4F28" w14:paraId="43BD899C" w14:textId="77777777" w:rsidTr="0056195E">
        <w:tc>
          <w:tcPr>
            <w:tcW w:w="2336" w:type="dxa"/>
            <w:shd w:val="clear" w:color="auto" w:fill="EEECE1" w:themeFill="background2"/>
          </w:tcPr>
          <w:p w14:paraId="40B7AC17" w14:textId="77777777" w:rsidR="00B877BC" w:rsidRPr="00CD4F28" w:rsidRDefault="00B877BC"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Human Resources (FTE)</w:t>
            </w:r>
          </w:p>
        </w:tc>
        <w:tc>
          <w:tcPr>
            <w:tcW w:w="2414" w:type="dxa"/>
            <w:shd w:val="clear" w:color="auto" w:fill="EEECE1" w:themeFill="background2"/>
          </w:tcPr>
          <w:p w14:paraId="6151BE3A" w14:textId="77777777" w:rsidR="00B877BC" w:rsidRPr="00CD4F28" w:rsidRDefault="00B877BC" w:rsidP="00A73694">
            <w:pPr>
              <w:pStyle w:val="BodyText"/>
              <w:tabs>
                <w:tab w:val="left" w:pos="0"/>
              </w:tabs>
              <w:spacing w:line="276" w:lineRule="auto"/>
              <w:ind w:right="283"/>
              <w:rPr>
                <w:rFonts w:ascii="Arial" w:hAnsi="Arial" w:cs="Arial"/>
                <w:b/>
                <w:sz w:val="22"/>
                <w:szCs w:val="24"/>
                <w:lang w:val="en-IE"/>
              </w:rPr>
            </w:pPr>
          </w:p>
        </w:tc>
        <w:tc>
          <w:tcPr>
            <w:tcW w:w="1487" w:type="dxa"/>
            <w:shd w:val="clear" w:color="auto" w:fill="EEECE1" w:themeFill="background2"/>
            <w:vAlign w:val="center"/>
          </w:tcPr>
          <w:p w14:paraId="54CF7B46" w14:textId="6AA9977E" w:rsidR="00B877BC" w:rsidRPr="00CD4F28" w:rsidRDefault="00673F94"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1</w:t>
            </w:r>
          </w:p>
        </w:tc>
        <w:tc>
          <w:tcPr>
            <w:tcW w:w="1418" w:type="dxa"/>
            <w:shd w:val="clear" w:color="auto" w:fill="EEECE1" w:themeFill="background2"/>
            <w:vAlign w:val="center"/>
          </w:tcPr>
          <w:p w14:paraId="304DBBA6" w14:textId="4E1F587B"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Q1 – Q2</w:t>
            </w:r>
          </w:p>
        </w:tc>
        <w:tc>
          <w:tcPr>
            <w:tcW w:w="1417" w:type="dxa"/>
            <w:shd w:val="clear" w:color="auto" w:fill="EEECE1" w:themeFill="background2"/>
            <w:vAlign w:val="center"/>
          </w:tcPr>
          <w:p w14:paraId="2C90A2AD" w14:textId="1D73D471" w:rsidR="00B877BC" w:rsidRPr="00CD4F28" w:rsidRDefault="006843FF"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1-2</w:t>
            </w:r>
          </w:p>
        </w:tc>
      </w:tr>
    </w:tbl>
    <w:p w14:paraId="46AE1362" w14:textId="08A53294" w:rsidR="0068460C" w:rsidRPr="00CD4F28" w:rsidRDefault="0068460C" w:rsidP="00A73694">
      <w:pPr>
        <w:pStyle w:val="BodyText"/>
        <w:tabs>
          <w:tab w:val="left" w:pos="0"/>
        </w:tabs>
        <w:spacing w:line="276" w:lineRule="auto"/>
        <w:ind w:right="283"/>
        <w:jc w:val="both"/>
        <w:rPr>
          <w:rFonts w:ascii="Arial" w:hAnsi="Arial" w:cs="Arial"/>
          <w:sz w:val="24"/>
          <w:szCs w:val="24"/>
          <w:lang w:val="en-IE"/>
        </w:rPr>
      </w:pPr>
    </w:p>
    <w:p w14:paraId="4491FB48" w14:textId="223905BD" w:rsidR="00C350B1" w:rsidRPr="00CD4F28" w:rsidRDefault="00A03501" w:rsidP="00A73694">
      <w:pPr>
        <w:pStyle w:val="Heading1"/>
      </w:pPr>
      <w:bookmarkStart w:id="30" w:name="_Toc23425452"/>
      <w:bookmarkStart w:id="31" w:name="_Toc40092196"/>
      <w:r w:rsidRPr="00CD4F28">
        <w:t>2</w:t>
      </w:r>
      <w:r w:rsidR="00A41A56" w:rsidRPr="00CD4F28">
        <w:t>.</w:t>
      </w:r>
      <w:r w:rsidR="000C0533">
        <w:t>6</w:t>
      </w:r>
      <w:r w:rsidR="00A41A56" w:rsidRPr="00CD4F28">
        <w:t xml:space="preserve"> </w:t>
      </w:r>
      <w:bookmarkStart w:id="32" w:name="_Toc23423349"/>
      <w:r w:rsidR="00C350B1" w:rsidRPr="00CD4F28">
        <w:t>Mediation between Member States</w:t>
      </w:r>
      <w:bookmarkEnd w:id="30"/>
      <w:bookmarkEnd w:id="32"/>
      <w:bookmarkEnd w:id="31"/>
    </w:p>
    <w:p w14:paraId="5952A340" w14:textId="77777777" w:rsidR="00C350B1" w:rsidRPr="00CD4F28" w:rsidRDefault="00C350B1" w:rsidP="00A73694">
      <w:pPr>
        <w:rPr>
          <w:rFonts w:ascii="Arial" w:hAnsi="Arial" w:cs="Arial"/>
          <w:sz w:val="24"/>
          <w:szCs w:val="24"/>
          <w:lang w:val="en-IE" w:bidi="ar-SA"/>
        </w:rPr>
      </w:pPr>
    </w:p>
    <w:p w14:paraId="218866CA" w14:textId="08218B1C" w:rsidR="008308F0" w:rsidRPr="00CD4F28" w:rsidRDefault="008308F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Mediating and facilitating a solution in case of administrative disputes between Member States is </w:t>
      </w:r>
      <w:r w:rsidR="00881A5F" w:rsidRPr="00CD4F28">
        <w:rPr>
          <w:rFonts w:ascii="Arial" w:hAnsi="Arial" w:cs="Arial"/>
          <w:sz w:val="24"/>
          <w:szCs w:val="24"/>
          <w:lang w:val="en-IE"/>
        </w:rPr>
        <w:t>one of the o</w:t>
      </w:r>
      <w:r w:rsidRPr="00CD4F28">
        <w:rPr>
          <w:rFonts w:ascii="Arial" w:hAnsi="Arial" w:cs="Arial"/>
          <w:sz w:val="24"/>
          <w:szCs w:val="24"/>
          <w:lang w:val="en-IE"/>
        </w:rPr>
        <w:t>bjective</w:t>
      </w:r>
      <w:r w:rsidR="00881A5F" w:rsidRPr="00CD4F28">
        <w:rPr>
          <w:rFonts w:ascii="Arial" w:hAnsi="Arial" w:cs="Arial"/>
          <w:sz w:val="24"/>
          <w:szCs w:val="24"/>
          <w:lang w:val="en-IE"/>
        </w:rPr>
        <w:t>s</w:t>
      </w:r>
      <w:r w:rsidRPr="00CD4F28">
        <w:rPr>
          <w:rFonts w:ascii="Arial" w:hAnsi="Arial" w:cs="Arial"/>
          <w:sz w:val="24"/>
          <w:szCs w:val="24"/>
          <w:lang w:val="en-IE"/>
        </w:rPr>
        <w:t xml:space="preserve"> of the Authority. In order to develop the related task, the Authority needs to establish </w:t>
      </w:r>
      <w:r w:rsidR="00881A5F" w:rsidRPr="00CD4F28">
        <w:rPr>
          <w:rFonts w:ascii="Arial" w:hAnsi="Arial" w:cs="Arial"/>
          <w:sz w:val="24"/>
          <w:szCs w:val="24"/>
          <w:lang w:val="en-IE"/>
        </w:rPr>
        <w:t>the procedure for mediation as set out in the Regulation, though a first stage supported by a mediator, and a second stage supported by a</w:t>
      </w:r>
      <w:r w:rsidRPr="00CD4F28">
        <w:rPr>
          <w:rFonts w:ascii="Arial" w:hAnsi="Arial" w:cs="Arial"/>
          <w:sz w:val="24"/>
          <w:szCs w:val="24"/>
          <w:lang w:val="en-IE"/>
        </w:rPr>
        <w:t xml:space="preserve"> Mediation Board, </w:t>
      </w:r>
      <w:r w:rsidR="00881A5F" w:rsidRPr="00CD4F28">
        <w:rPr>
          <w:rFonts w:ascii="Arial" w:hAnsi="Arial" w:cs="Arial"/>
          <w:sz w:val="24"/>
          <w:szCs w:val="24"/>
          <w:lang w:val="en-IE"/>
        </w:rPr>
        <w:t xml:space="preserve">and to </w:t>
      </w:r>
      <w:r w:rsidRPr="00CD4F28">
        <w:rPr>
          <w:rFonts w:ascii="Arial" w:hAnsi="Arial" w:cs="Arial"/>
          <w:sz w:val="24"/>
          <w:szCs w:val="24"/>
          <w:lang w:val="en-IE"/>
        </w:rPr>
        <w:t xml:space="preserve">establish a cooperation agreement with the Administrative Commission </w:t>
      </w:r>
      <w:r w:rsidR="00881A5F" w:rsidRPr="00CD4F28">
        <w:rPr>
          <w:rFonts w:ascii="Arial" w:hAnsi="Arial" w:cs="Arial"/>
          <w:sz w:val="24"/>
          <w:szCs w:val="24"/>
          <w:lang w:val="en-IE"/>
        </w:rPr>
        <w:t xml:space="preserve">for the coordination of </w:t>
      </w:r>
      <w:r w:rsidRPr="00CD4F28">
        <w:rPr>
          <w:rFonts w:ascii="Arial" w:hAnsi="Arial" w:cs="Arial"/>
          <w:sz w:val="24"/>
          <w:szCs w:val="24"/>
          <w:lang w:val="en-IE"/>
        </w:rPr>
        <w:t xml:space="preserve">social security </w:t>
      </w:r>
      <w:r w:rsidR="00881A5F" w:rsidRPr="00CD4F28">
        <w:rPr>
          <w:rFonts w:ascii="Arial" w:hAnsi="Arial" w:cs="Arial"/>
          <w:sz w:val="24"/>
          <w:szCs w:val="24"/>
          <w:lang w:val="en-IE"/>
        </w:rPr>
        <w:t xml:space="preserve">systems </w:t>
      </w:r>
      <w:r w:rsidRPr="00CD4F28">
        <w:rPr>
          <w:rFonts w:ascii="Arial" w:hAnsi="Arial" w:cs="Arial"/>
          <w:sz w:val="24"/>
          <w:szCs w:val="24"/>
          <w:lang w:val="en-IE"/>
        </w:rPr>
        <w:t xml:space="preserve">(see box below). </w:t>
      </w:r>
    </w:p>
    <w:p w14:paraId="09E268D9" w14:textId="77777777" w:rsidR="000A6524" w:rsidRPr="00CD4F28" w:rsidRDefault="000A6524" w:rsidP="00A73694">
      <w:pPr>
        <w:pStyle w:val="BodyText"/>
        <w:tabs>
          <w:tab w:val="left" w:pos="0"/>
        </w:tabs>
        <w:spacing w:line="276" w:lineRule="auto"/>
        <w:ind w:right="283"/>
        <w:jc w:val="both"/>
        <w:rPr>
          <w:rFonts w:ascii="Arial" w:hAnsi="Arial" w:cs="Arial"/>
          <w:sz w:val="24"/>
          <w:szCs w:val="24"/>
          <w:lang w:val="en-IE"/>
        </w:rPr>
      </w:pPr>
    </w:p>
    <w:p w14:paraId="24D27063" w14:textId="77777777" w:rsidR="000A6524" w:rsidRPr="00CD4F28" w:rsidRDefault="000A6524" w:rsidP="000A65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line="276" w:lineRule="auto"/>
        <w:ind w:right="283"/>
        <w:jc w:val="both"/>
        <w:rPr>
          <w:rFonts w:ascii="Arial" w:hAnsi="Arial" w:cs="Arial"/>
          <w:sz w:val="24"/>
          <w:szCs w:val="24"/>
          <w:lang w:val="en-IE"/>
        </w:rPr>
      </w:pPr>
      <w:r w:rsidRPr="00CD4F28">
        <w:rPr>
          <w:rFonts w:ascii="Arial" w:hAnsi="Arial" w:cs="Arial"/>
          <w:b/>
          <w:sz w:val="24"/>
          <w:szCs w:val="24"/>
          <w:lang w:val="en-IE"/>
        </w:rPr>
        <w:t>Article 13</w:t>
      </w:r>
      <w:r w:rsidRPr="00CD4F28">
        <w:rPr>
          <w:rFonts w:ascii="Arial" w:hAnsi="Arial" w:cs="Arial"/>
          <w:sz w:val="24"/>
          <w:szCs w:val="24"/>
          <w:lang w:val="en-IE"/>
        </w:rPr>
        <w:t xml:space="preserve"> of the Regulation defines the mediation task. </w:t>
      </w:r>
    </w:p>
    <w:p w14:paraId="382E4F3F" w14:textId="77777777" w:rsidR="000A6524" w:rsidRPr="00CD4F28" w:rsidRDefault="000A6524" w:rsidP="000A65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line="276" w:lineRule="auto"/>
        <w:ind w:right="283"/>
        <w:jc w:val="both"/>
        <w:rPr>
          <w:rFonts w:ascii="Arial" w:hAnsi="Arial" w:cs="Arial"/>
          <w:sz w:val="24"/>
          <w:szCs w:val="24"/>
          <w:lang w:val="en-IE"/>
        </w:rPr>
      </w:pPr>
    </w:p>
    <w:p w14:paraId="63A2F016" w14:textId="77777777" w:rsidR="000A6524" w:rsidRPr="00CD4F28" w:rsidRDefault="000A6524" w:rsidP="000A65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A two-stage mediation procedure is established:</w:t>
      </w:r>
    </w:p>
    <w:p w14:paraId="7CE171C7" w14:textId="77777777" w:rsidR="000A6524" w:rsidRPr="00CD4F28" w:rsidRDefault="000A6524" w:rsidP="00D03DF3">
      <w:pPr>
        <w:pStyle w:val="ListParagraph"/>
        <w:widowControl/>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First stage: mediation is conducted between the Member States that are party to the dispute and a mediator;</w:t>
      </w:r>
    </w:p>
    <w:p w14:paraId="6FD6CDCF" w14:textId="77777777" w:rsidR="000A6524" w:rsidRPr="00CD4F28" w:rsidRDefault="000A6524" w:rsidP="00D03DF3">
      <w:pPr>
        <w:pStyle w:val="ListParagraph"/>
        <w:widowControl/>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Second stage: mediation is carried out by a Mediation Board to be established by the Authority.</w:t>
      </w:r>
    </w:p>
    <w:p w14:paraId="1EA27B68" w14:textId="77777777" w:rsidR="000A6524" w:rsidRPr="00CD4F28" w:rsidRDefault="000A6524" w:rsidP="000A65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lastRenderedPageBreak/>
        <w:t>According to Article 13(6) of Regulation (EU) 2019/1149, the Management Board will adopt the rules of procedures for mediation, including working arrangements and the appointment of mediators, the applicable deadlines, the involvement of experts, and the possibility of the Management Board to sit in panels composed of several members.</w:t>
      </w:r>
    </w:p>
    <w:p w14:paraId="5A650C56" w14:textId="77777777" w:rsidR="000A6524" w:rsidRPr="00CD4F28" w:rsidRDefault="000A6524" w:rsidP="000A65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line="276" w:lineRule="auto"/>
        <w:ind w:right="283"/>
        <w:jc w:val="both"/>
        <w:rPr>
          <w:rFonts w:ascii="Arial" w:hAnsi="Arial" w:cs="Arial"/>
          <w:sz w:val="24"/>
          <w:szCs w:val="24"/>
          <w:lang w:val="en-IE"/>
        </w:rPr>
      </w:pPr>
    </w:p>
    <w:p w14:paraId="7535C036" w14:textId="71972AFD" w:rsidR="000A6524" w:rsidRPr="00CD4F28" w:rsidRDefault="000A6524" w:rsidP="000A65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For matters relating to social security, the Administrative Commission will be informed. The Authority and the Administrative Commission will establish a cooperation agreement.</w:t>
      </w:r>
    </w:p>
    <w:p w14:paraId="7E8EF01A" w14:textId="6A78350F" w:rsidR="00D80D9C" w:rsidRPr="00CD4F28" w:rsidRDefault="00D80D9C"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 </w:t>
      </w:r>
    </w:p>
    <w:p w14:paraId="70DA182C" w14:textId="39D0676C" w:rsidR="008308F0" w:rsidRPr="00CD4F28" w:rsidRDefault="008308F0" w:rsidP="00A73694">
      <w:pPr>
        <w:pStyle w:val="BodyText"/>
        <w:tabs>
          <w:tab w:val="left" w:pos="0"/>
        </w:tabs>
        <w:spacing w:line="276" w:lineRule="auto"/>
        <w:ind w:right="283"/>
        <w:jc w:val="both"/>
        <w:rPr>
          <w:rFonts w:ascii="Arial" w:hAnsi="Arial" w:cs="Arial"/>
          <w:sz w:val="24"/>
          <w:szCs w:val="24"/>
          <w:u w:val="single"/>
          <w:lang w:val="en-IE"/>
        </w:rPr>
      </w:pPr>
      <w:r w:rsidRPr="00CD4F28">
        <w:rPr>
          <w:rFonts w:ascii="Arial" w:hAnsi="Arial" w:cs="Arial"/>
          <w:sz w:val="24"/>
          <w:szCs w:val="24"/>
          <w:u w:val="single"/>
          <w:lang w:val="en-IE"/>
        </w:rPr>
        <w:t>Key objective</w:t>
      </w:r>
    </w:p>
    <w:p w14:paraId="7EE0EE58" w14:textId="6A839C7D" w:rsidR="008308F0" w:rsidRPr="00CD4F28" w:rsidRDefault="008308F0" w:rsidP="00A73694">
      <w:pPr>
        <w:pStyle w:val="BodyText"/>
        <w:tabs>
          <w:tab w:val="left" w:pos="0"/>
        </w:tabs>
        <w:spacing w:line="276" w:lineRule="auto"/>
        <w:ind w:right="283"/>
        <w:jc w:val="both"/>
        <w:rPr>
          <w:rFonts w:ascii="Arial" w:hAnsi="Arial" w:cs="Arial"/>
          <w:b/>
          <w:sz w:val="24"/>
          <w:szCs w:val="24"/>
          <w:lang w:val="en-IE"/>
        </w:rPr>
      </w:pPr>
      <w:r w:rsidRPr="00CD4F28">
        <w:rPr>
          <w:rFonts w:ascii="Arial" w:hAnsi="Arial" w:cs="Arial"/>
          <w:sz w:val="24"/>
          <w:szCs w:val="24"/>
          <w:lang w:val="en-IE"/>
        </w:rPr>
        <w:t>Initiating the preparation of the mandatory arrangements for carrying out the task of mediation</w:t>
      </w:r>
      <w:r w:rsidR="00314B28" w:rsidRPr="00CD4F28">
        <w:rPr>
          <w:rFonts w:ascii="Arial" w:hAnsi="Arial" w:cs="Arial"/>
          <w:sz w:val="24"/>
          <w:szCs w:val="24"/>
          <w:lang w:val="en-IE"/>
        </w:rPr>
        <w:t>, including draft rules of procedure</w:t>
      </w:r>
      <w:r w:rsidR="00C1232C">
        <w:rPr>
          <w:rFonts w:ascii="Arial" w:hAnsi="Arial" w:cs="Arial"/>
          <w:sz w:val="24"/>
          <w:szCs w:val="24"/>
          <w:lang w:val="en-IE"/>
        </w:rPr>
        <w:t xml:space="preserve"> and a cooperation agreement with the Administrative Commission </w:t>
      </w:r>
      <w:r w:rsidR="004B0155" w:rsidRPr="004B0155">
        <w:rPr>
          <w:rFonts w:ascii="Arial" w:hAnsi="Arial" w:cs="Arial"/>
          <w:sz w:val="24"/>
          <w:szCs w:val="24"/>
          <w:lang w:val="en-IE"/>
        </w:rPr>
        <w:t>for the coordination of social security systems</w:t>
      </w:r>
      <w:r w:rsidRPr="00CD4F28">
        <w:rPr>
          <w:rFonts w:ascii="Arial" w:hAnsi="Arial" w:cs="Arial"/>
          <w:sz w:val="24"/>
          <w:szCs w:val="24"/>
          <w:lang w:val="en-IE"/>
        </w:rPr>
        <w:t>.</w:t>
      </w:r>
    </w:p>
    <w:p w14:paraId="494E17E6" w14:textId="77777777" w:rsidR="008308F0" w:rsidRPr="00CD4F28" w:rsidRDefault="008308F0" w:rsidP="00A73694">
      <w:pPr>
        <w:pStyle w:val="BodyText"/>
        <w:tabs>
          <w:tab w:val="left" w:pos="0"/>
        </w:tabs>
        <w:spacing w:line="276" w:lineRule="auto"/>
        <w:ind w:right="283"/>
        <w:rPr>
          <w:rFonts w:ascii="Arial" w:hAnsi="Arial" w:cs="Arial"/>
          <w:b/>
          <w:sz w:val="24"/>
          <w:szCs w:val="24"/>
          <w:lang w:val="en-IE"/>
        </w:rPr>
      </w:pPr>
    </w:p>
    <w:p w14:paraId="3DADB6CD" w14:textId="4997A3DF" w:rsidR="001D0405" w:rsidRPr="00CD4F28" w:rsidRDefault="003B260F" w:rsidP="00A73694">
      <w:pPr>
        <w:pStyle w:val="BodyText"/>
        <w:tabs>
          <w:tab w:val="left" w:pos="0"/>
        </w:tabs>
        <w:spacing w:line="276" w:lineRule="auto"/>
        <w:ind w:right="283"/>
        <w:rPr>
          <w:rFonts w:ascii="Arial" w:hAnsi="Arial" w:cs="Arial"/>
          <w:sz w:val="24"/>
          <w:szCs w:val="24"/>
          <w:u w:val="single"/>
          <w:lang w:val="en-IE"/>
        </w:rPr>
      </w:pPr>
      <w:r>
        <w:rPr>
          <w:rFonts w:ascii="Arial" w:hAnsi="Arial" w:cs="Arial"/>
          <w:sz w:val="24"/>
          <w:szCs w:val="24"/>
          <w:u w:val="single"/>
          <w:lang w:val="en-IE"/>
        </w:rPr>
        <w:t>Main actions and outputs</w:t>
      </w:r>
      <w:r w:rsidR="001D0405" w:rsidRPr="00CD4F28">
        <w:rPr>
          <w:rFonts w:ascii="Arial" w:hAnsi="Arial" w:cs="Arial"/>
          <w:sz w:val="24"/>
          <w:szCs w:val="24"/>
          <w:u w:val="single"/>
          <w:lang w:val="en-IE"/>
        </w:rPr>
        <w:t xml:space="preserve"> </w:t>
      </w:r>
    </w:p>
    <w:p w14:paraId="045D7CD9" w14:textId="77777777" w:rsidR="006843FF" w:rsidRPr="00CD4F28" w:rsidRDefault="006843FF" w:rsidP="00A73694">
      <w:pPr>
        <w:pStyle w:val="BodyText"/>
        <w:tabs>
          <w:tab w:val="left" w:pos="0"/>
        </w:tabs>
        <w:spacing w:line="276" w:lineRule="auto"/>
        <w:ind w:right="283"/>
        <w:rPr>
          <w:rFonts w:ascii="Arial" w:hAnsi="Arial" w:cs="Arial"/>
          <w:sz w:val="24"/>
          <w:szCs w:val="24"/>
          <w:u w:val="single"/>
          <w:lang w:val="en-IE"/>
        </w:rPr>
      </w:pPr>
    </w:p>
    <w:p w14:paraId="4F0D4875" w14:textId="7045854E" w:rsidR="001D0405" w:rsidRPr="00CD4F28" w:rsidRDefault="00A03501" w:rsidP="000C0533">
      <w:pPr>
        <w:pStyle w:val="BodyText"/>
        <w:numPr>
          <w:ilvl w:val="2"/>
          <w:numId w:val="11"/>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Working relations with the Administrative Commission on social security coordination</w:t>
      </w:r>
    </w:p>
    <w:p w14:paraId="726B739D" w14:textId="77777777" w:rsidR="00D706BD" w:rsidRPr="00CD4F28" w:rsidRDefault="00D706BD" w:rsidP="00A73694">
      <w:pPr>
        <w:pStyle w:val="BodyText"/>
        <w:tabs>
          <w:tab w:val="left" w:pos="0"/>
        </w:tabs>
        <w:spacing w:line="276" w:lineRule="auto"/>
        <w:ind w:right="283"/>
        <w:jc w:val="both"/>
        <w:rPr>
          <w:rFonts w:ascii="Arial" w:hAnsi="Arial" w:cs="Arial"/>
          <w:sz w:val="24"/>
          <w:szCs w:val="24"/>
          <w:lang w:val="en-IE"/>
        </w:rPr>
      </w:pPr>
    </w:p>
    <w:p w14:paraId="184ABC16" w14:textId="580952D7" w:rsidR="00722B57" w:rsidRPr="00CD4F28" w:rsidRDefault="008308F0" w:rsidP="00A73694">
      <w:pPr>
        <w:pStyle w:val="BodyText"/>
        <w:tabs>
          <w:tab w:val="left" w:pos="0"/>
        </w:tabs>
        <w:spacing w:line="276" w:lineRule="auto"/>
        <w:ind w:right="283"/>
        <w:jc w:val="both"/>
        <w:rPr>
          <w:rFonts w:ascii="Arial" w:hAnsi="Arial" w:cs="Arial"/>
          <w:sz w:val="24"/>
          <w:szCs w:val="24"/>
          <w:lang w:val="en-IE"/>
        </w:rPr>
      </w:pPr>
      <w:r w:rsidRPr="00CD4F28">
        <w:rPr>
          <w:rFonts w:ascii="Arial" w:hAnsi="Arial" w:cs="Arial"/>
          <w:sz w:val="24"/>
          <w:szCs w:val="24"/>
          <w:lang w:val="en-IE"/>
        </w:rPr>
        <w:t xml:space="preserve">The Authority will </w:t>
      </w:r>
      <w:r w:rsidR="00A03501" w:rsidRPr="00CD4F28">
        <w:rPr>
          <w:rFonts w:ascii="Arial" w:hAnsi="Arial" w:cs="Arial"/>
          <w:sz w:val="24"/>
          <w:szCs w:val="24"/>
          <w:lang w:val="en-IE"/>
        </w:rPr>
        <w:t>start discussions with the Administrative Commission on social security coordination with a view to developing</w:t>
      </w:r>
      <w:r w:rsidR="00722B57" w:rsidRPr="00CD4F28">
        <w:rPr>
          <w:rFonts w:ascii="Arial" w:hAnsi="Arial" w:cs="Arial"/>
          <w:sz w:val="24"/>
          <w:szCs w:val="24"/>
          <w:lang w:val="en-IE"/>
        </w:rPr>
        <w:t xml:space="preserve"> the cooperation agreement mandated by Article 13 of the Regulation.</w:t>
      </w:r>
    </w:p>
    <w:p w14:paraId="5B2EAAEE" w14:textId="77777777" w:rsidR="00D80D9C" w:rsidRPr="00CD4F28" w:rsidRDefault="00D80D9C" w:rsidP="00A73694">
      <w:pPr>
        <w:pStyle w:val="BodyText"/>
        <w:tabs>
          <w:tab w:val="left" w:pos="0"/>
        </w:tabs>
        <w:spacing w:line="276" w:lineRule="auto"/>
        <w:ind w:right="283"/>
        <w:rPr>
          <w:rFonts w:ascii="Arial" w:hAnsi="Arial" w:cs="Arial"/>
          <w:sz w:val="24"/>
          <w:szCs w:val="24"/>
          <w:lang w:val="en-IE"/>
        </w:rPr>
      </w:pPr>
    </w:p>
    <w:p w14:paraId="226DA8F4" w14:textId="0DE90DD1" w:rsidR="00D80D9C" w:rsidRPr="00CD4F28" w:rsidRDefault="00DC7A1A" w:rsidP="005F4846">
      <w:pPr>
        <w:pStyle w:val="Heading1"/>
        <w:tabs>
          <w:tab w:val="clear" w:pos="0"/>
          <w:tab w:val="left" w:pos="426"/>
        </w:tabs>
        <w:ind w:left="426" w:right="286" w:hanging="426"/>
        <w:jc w:val="both"/>
      </w:pPr>
      <w:bookmarkStart w:id="33" w:name="_Toc23423350"/>
      <w:bookmarkStart w:id="34" w:name="_Toc23425453"/>
      <w:bookmarkStart w:id="35" w:name="_Toc40092197"/>
      <w:r w:rsidRPr="00CD4F28">
        <w:t>2</w:t>
      </w:r>
      <w:r w:rsidR="00FC55A2" w:rsidRPr="00CD4F28">
        <w:t>.</w:t>
      </w:r>
      <w:r w:rsidR="000C0533">
        <w:t>7</w:t>
      </w:r>
      <w:r w:rsidR="00FC55A2" w:rsidRPr="00CD4F28">
        <w:t xml:space="preserve"> </w:t>
      </w:r>
      <w:r w:rsidR="00C350B1" w:rsidRPr="00CD4F28">
        <w:t>Preparatory actions</w:t>
      </w:r>
      <w:bookmarkEnd w:id="33"/>
      <w:r w:rsidR="00FC55A2" w:rsidRPr="00CD4F28">
        <w:t xml:space="preserve"> for the transfer of EURES and of the Platform tackling undeclared work</w:t>
      </w:r>
      <w:bookmarkEnd w:id="34"/>
      <w:bookmarkEnd w:id="35"/>
    </w:p>
    <w:p w14:paraId="2043CF92" w14:textId="77777777" w:rsidR="00C66C25" w:rsidRPr="00CD4F28" w:rsidRDefault="00C66C25" w:rsidP="003B260F">
      <w:pPr>
        <w:pStyle w:val="BodyText"/>
        <w:tabs>
          <w:tab w:val="left" w:pos="0"/>
        </w:tabs>
        <w:spacing w:line="276" w:lineRule="auto"/>
        <w:ind w:right="286"/>
        <w:jc w:val="both"/>
        <w:rPr>
          <w:rFonts w:ascii="Arial" w:hAnsi="Arial" w:cs="Arial"/>
          <w:sz w:val="24"/>
          <w:szCs w:val="24"/>
          <w:lang w:val="en-IE"/>
        </w:rPr>
      </w:pPr>
    </w:p>
    <w:p w14:paraId="24E1E272" w14:textId="082DB430" w:rsidR="00C66C25" w:rsidRPr="00CD4F28" w:rsidRDefault="00BA572C" w:rsidP="003B260F">
      <w:pPr>
        <w:pStyle w:val="BodyText"/>
        <w:tabs>
          <w:tab w:val="left" w:pos="0"/>
        </w:tabs>
        <w:spacing w:line="276" w:lineRule="auto"/>
        <w:ind w:right="286"/>
        <w:jc w:val="both"/>
        <w:rPr>
          <w:rFonts w:ascii="Arial" w:hAnsi="Arial" w:cs="Arial"/>
          <w:sz w:val="24"/>
          <w:szCs w:val="24"/>
          <w:lang w:val="en-IE"/>
        </w:rPr>
      </w:pPr>
      <w:r w:rsidRPr="00CD4F28">
        <w:rPr>
          <w:rFonts w:ascii="Arial" w:hAnsi="Arial" w:cs="Arial"/>
          <w:sz w:val="24"/>
          <w:szCs w:val="24"/>
          <w:lang w:val="en-IE"/>
        </w:rPr>
        <w:t>T</w:t>
      </w:r>
      <w:r w:rsidR="00C66C25" w:rsidRPr="00CD4F28">
        <w:rPr>
          <w:rFonts w:ascii="Arial" w:hAnsi="Arial" w:cs="Arial"/>
          <w:sz w:val="24"/>
          <w:szCs w:val="24"/>
          <w:lang w:val="en-IE"/>
        </w:rPr>
        <w:t xml:space="preserve">he Authority </w:t>
      </w:r>
      <w:r w:rsidRPr="00CD4F28">
        <w:rPr>
          <w:rFonts w:ascii="Arial" w:hAnsi="Arial" w:cs="Arial"/>
          <w:sz w:val="24"/>
          <w:szCs w:val="24"/>
          <w:lang w:val="en-IE"/>
        </w:rPr>
        <w:t>is set to</w:t>
      </w:r>
      <w:r w:rsidR="00C66C25" w:rsidRPr="00CD4F28">
        <w:rPr>
          <w:rFonts w:ascii="Arial" w:hAnsi="Arial" w:cs="Arial"/>
          <w:sz w:val="24"/>
          <w:szCs w:val="24"/>
          <w:lang w:val="en-IE"/>
        </w:rPr>
        <w:t xml:space="preserve"> integrate the </w:t>
      </w:r>
      <w:r w:rsidR="00090A0B" w:rsidRPr="00CD4F28">
        <w:rPr>
          <w:rFonts w:ascii="Arial" w:hAnsi="Arial" w:cs="Arial"/>
          <w:sz w:val="24"/>
          <w:szCs w:val="24"/>
          <w:lang w:val="en-IE"/>
        </w:rPr>
        <w:t xml:space="preserve">EURES </w:t>
      </w:r>
      <w:r w:rsidR="00D427A9" w:rsidRPr="00CD4F28">
        <w:rPr>
          <w:rFonts w:ascii="Arial" w:hAnsi="Arial" w:cs="Arial"/>
          <w:sz w:val="24"/>
          <w:szCs w:val="24"/>
          <w:lang w:val="en-IE"/>
        </w:rPr>
        <w:t xml:space="preserve">European </w:t>
      </w:r>
      <w:r w:rsidR="00090A0B" w:rsidRPr="00CD4F28">
        <w:rPr>
          <w:rFonts w:ascii="Arial" w:hAnsi="Arial" w:cs="Arial"/>
          <w:sz w:val="24"/>
          <w:szCs w:val="24"/>
          <w:lang w:val="en-IE"/>
        </w:rPr>
        <w:t xml:space="preserve">Coordination Office and the European Platform </w:t>
      </w:r>
      <w:r w:rsidR="00C66C25" w:rsidRPr="00CD4F28">
        <w:rPr>
          <w:rFonts w:ascii="Arial" w:hAnsi="Arial" w:cs="Arial"/>
          <w:sz w:val="24"/>
          <w:szCs w:val="24"/>
          <w:lang w:val="en-IE"/>
        </w:rPr>
        <w:t>tackling</w:t>
      </w:r>
      <w:r w:rsidR="00090A0B" w:rsidRPr="00CD4F28">
        <w:rPr>
          <w:rFonts w:ascii="Arial" w:hAnsi="Arial" w:cs="Arial"/>
          <w:sz w:val="24"/>
          <w:szCs w:val="24"/>
          <w:lang w:val="en-IE"/>
        </w:rPr>
        <w:t xml:space="preserve"> undeclared work</w:t>
      </w:r>
      <w:r w:rsidR="00722B57" w:rsidRPr="00CD4F28">
        <w:rPr>
          <w:rFonts w:ascii="Arial" w:hAnsi="Arial" w:cs="Arial"/>
          <w:sz w:val="24"/>
          <w:szCs w:val="24"/>
          <w:lang w:val="en-IE"/>
        </w:rPr>
        <w:t>, no later than by</w:t>
      </w:r>
      <w:r w:rsidRPr="00CD4F28">
        <w:rPr>
          <w:rFonts w:ascii="Arial" w:hAnsi="Arial" w:cs="Arial"/>
          <w:sz w:val="24"/>
          <w:szCs w:val="24"/>
          <w:lang w:val="en-IE"/>
        </w:rPr>
        <w:t xml:space="preserve"> </w:t>
      </w:r>
      <w:r w:rsidR="00C66C25" w:rsidRPr="00CD4F28">
        <w:rPr>
          <w:rFonts w:ascii="Arial" w:hAnsi="Arial" w:cs="Arial"/>
          <w:sz w:val="24"/>
          <w:szCs w:val="24"/>
          <w:lang w:val="en-IE"/>
        </w:rPr>
        <w:t xml:space="preserve">August 2021. </w:t>
      </w:r>
    </w:p>
    <w:p w14:paraId="55AA1164" w14:textId="77777777" w:rsidR="00C66C25" w:rsidRPr="00CD4F28" w:rsidRDefault="00C66C25" w:rsidP="003B260F">
      <w:pPr>
        <w:pStyle w:val="BodyText"/>
        <w:tabs>
          <w:tab w:val="left" w:pos="0"/>
        </w:tabs>
        <w:spacing w:line="276" w:lineRule="auto"/>
        <w:ind w:right="286"/>
        <w:jc w:val="both"/>
        <w:rPr>
          <w:rFonts w:ascii="Arial" w:hAnsi="Arial" w:cs="Arial"/>
          <w:sz w:val="24"/>
          <w:szCs w:val="24"/>
          <w:lang w:val="en-IE"/>
        </w:rPr>
      </w:pPr>
    </w:p>
    <w:p w14:paraId="10E690A8" w14:textId="2BF080E1" w:rsidR="00D80D9C" w:rsidRPr="00CD4F28" w:rsidRDefault="00D427A9" w:rsidP="003B260F">
      <w:pPr>
        <w:pStyle w:val="BodyText"/>
        <w:tabs>
          <w:tab w:val="left" w:pos="0"/>
        </w:tabs>
        <w:spacing w:line="276" w:lineRule="auto"/>
        <w:ind w:right="286"/>
        <w:jc w:val="both"/>
        <w:rPr>
          <w:rFonts w:ascii="Arial" w:hAnsi="Arial" w:cs="Arial"/>
          <w:sz w:val="24"/>
          <w:szCs w:val="24"/>
          <w:lang w:val="en-IE"/>
        </w:rPr>
      </w:pPr>
      <w:r w:rsidRPr="00CD4F28">
        <w:rPr>
          <w:rFonts w:ascii="Arial" w:hAnsi="Arial" w:cs="Arial"/>
          <w:sz w:val="24"/>
          <w:szCs w:val="24"/>
          <w:lang w:val="en-IE"/>
        </w:rPr>
        <w:t>T</w:t>
      </w:r>
      <w:r w:rsidR="00C66C25" w:rsidRPr="00CD4F28">
        <w:rPr>
          <w:rFonts w:ascii="Arial" w:hAnsi="Arial" w:cs="Arial"/>
          <w:sz w:val="24"/>
          <w:szCs w:val="24"/>
          <w:lang w:val="en-IE"/>
        </w:rPr>
        <w:t>he Commission will continue to manage both bodies in 2020</w:t>
      </w:r>
      <w:r w:rsidRPr="00CD4F28">
        <w:rPr>
          <w:rFonts w:ascii="Arial" w:hAnsi="Arial" w:cs="Arial"/>
          <w:sz w:val="24"/>
          <w:szCs w:val="24"/>
          <w:lang w:val="en-IE"/>
        </w:rPr>
        <w:t xml:space="preserve"> as mandated by Article 44 of the Regulation. T</w:t>
      </w:r>
      <w:r w:rsidR="00090A0B" w:rsidRPr="00CD4F28">
        <w:rPr>
          <w:rFonts w:ascii="Arial" w:hAnsi="Arial" w:cs="Arial"/>
          <w:sz w:val="24"/>
          <w:szCs w:val="24"/>
          <w:lang w:val="en-IE"/>
        </w:rPr>
        <w:t>he Authority</w:t>
      </w:r>
      <w:r w:rsidR="00C66C25" w:rsidRPr="00CD4F28">
        <w:rPr>
          <w:rFonts w:ascii="Arial" w:hAnsi="Arial" w:cs="Arial"/>
          <w:sz w:val="24"/>
          <w:szCs w:val="24"/>
          <w:lang w:val="en-IE"/>
        </w:rPr>
        <w:t xml:space="preserve"> will organise preparatory actions with a view to ensuring </w:t>
      </w:r>
      <w:r w:rsidR="004178EF" w:rsidRPr="00CD4F28">
        <w:rPr>
          <w:rFonts w:ascii="Arial" w:hAnsi="Arial" w:cs="Arial"/>
          <w:sz w:val="24"/>
          <w:szCs w:val="24"/>
          <w:lang w:val="en-IE"/>
        </w:rPr>
        <w:t xml:space="preserve">knowledge transfer, and </w:t>
      </w:r>
      <w:r w:rsidR="00C66C25" w:rsidRPr="00CD4F28">
        <w:rPr>
          <w:rFonts w:ascii="Arial" w:hAnsi="Arial" w:cs="Arial"/>
          <w:sz w:val="24"/>
          <w:szCs w:val="24"/>
          <w:lang w:val="en-IE"/>
        </w:rPr>
        <w:t xml:space="preserve">business continuity following the transfer. </w:t>
      </w:r>
    </w:p>
    <w:p w14:paraId="762FFB83" w14:textId="0EE0F266" w:rsidR="003A7020" w:rsidRPr="00CD4F28" w:rsidRDefault="003A7020" w:rsidP="003B260F">
      <w:pPr>
        <w:pStyle w:val="BodyText"/>
        <w:tabs>
          <w:tab w:val="left" w:pos="0"/>
        </w:tabs>
        <w:spacing w:line="276" w:lineRule="auto"/>
        <w:ind w:right="286"/>
        <w:jc w:val="both"/>
        <w:rPr>
          <w:rFonts w:ascii="Arial" w:hAnsi="Arial" w:cs="Arial"/>
          <w:sz w:val="24"/>
          <w:szCs w:val="24"/>
          <w:lang w:val="en-IE"/>
        </w:rPr>
      </w:pPr>
    </w:p>
    <w:p w14:paraId="7118BDF3" w14:textId="4B7FB1D2" w:rsidR="00ED6628" w:rsidRPr="00CD4F28" w:rsidRDefault="00ED6628" w:rsidP="003B260F">
      <w:pPr>
        <w:pStyle w:val="BodyText"/>
        <w:tabs>
          <w:tab w:val="left" w:pos="0"/>
        </w:tabs>
        <w:spacing w:line="276" w:lineRule="auto"/>
        <w:ind w:right="286"/>
        <w:jc w:val="both"/>
        <w:rPr>
          <w:rFonts w:ascii="Arial" w:hAnsi="Arial" w:cs="Arial"/>
          <w:sz w:val="24"/>
          <w:szCs w:val="24"/>
          <w:u w:val="single"/>
          <w:lang w:val="en-IE"/>
        </w:rPr>
      </w:pPr>
      <w:r w:rsidRPr="00CD4F28">
        <w:rPr>
          <w:rFonts w:ascii="Arial" w:hAnsi="Arial" w:cs="Arial"/>
          <w:sz w:val="24"/>
          <w:szCs w:val="24"/>
          <w:u w:val="single"/>
          <w:lang w:val="en-IE"/>
        </w:rPr>
        <w:t>Key objective</w:t>
      </w:r>
    </w:p>
    <w:p w14:paraId="7CD5B348" w14:textId="2910E98A" w:rsidR="00ED6628" w:rsidRPr="00CD4F28" w:rsidRDefault="00ED6628" w:rsidP="003B260F">
      <w:pPr>
        <w:pStyle w:val="BodyText"/>
        <w:tabs>
          <w:tab w:val="left" w:pos="0"/>
        </w:tabs>
        <w:spacing w:line="276" w:lineRule="auto"/>
        <w:ind w:right="286"/>
        <w:jc w:val="both"/>
        <w:rPr>
          <w:rFonts w:ascii="Arial" w:hAnsi="Arial" w:cs="Arial"/>
          <w:b/>
          <w:sz w:val="24"/>
          <w:szCs w:val="24"/>
          <w:lang w:val="en-IE"/>
        </w:rPr>
      </w:pPr>
      <w:r w:rsidRPr="00CD4F28">
        <w:rPr>
          <w:rFonts w:ascii="Arial" w:hAnsi="Arial" w:cs="Arial"/>
          <w:sz w:val="24"/>
          <w:szCs w:val="24"/>
          <w:lang w:val="en-IE"/>
        </w:rPr>
        <w:t>Preparing for a smooth transition of</w:t>
      </w:r>
      <w:r w:rsidR="00D427A9" w:rsidRPr="00CD4F28">
        <w:rPr>
          <w:rFonts w:ascii="Arial" w:hAnsi="Arial" w:cs="Arial"/>
          <w:sz w:val="24"/>
          <w:szCs w:val="24"/>
          <w:lang w:val="en-IE"/>
        </w:rPr>
        <w:t xml:space="preserve"> the</w:t>
      </w:r>
      <w:r w:rsidRPr="00CD4F28">
        <w:rPr>
          <w:rFonts w:ascii="Arial" w:hAnsi="Arial" w:cs="Arial"/>
          <w:sz w:val="24"/>
          <w:szCs w:val="24"/>
          <w:lang w:val="en-IE"/>
        </w:rPr>
        <w:t xml:space="preserve"> EURES </w:t>
      </w:r>
      <w:r w:rsidR="00D427A9" w:rsidRPr="00CD4F28">
        <w:rPr>
          <w:rFonts w:ascii="Arial" w:hAnsi="Arial" w:cs="Arial"/>
          <w:sz w:val="24"/>
          <w:szCs w:val="24"/>
          <w:lang w:val="en-IE"/>
        </w:rPr>
        <w:t xml:space="preserve">European Coordination Office </w:t>
      </w:r>
      <w:r w:rsidRPr="00CD4F28">
        <w:rPr>
          <w:rFonts w:ascii="Arial" w:hAnsi="Arial" w:cs="Arial"/>
          <w:sz w:val="24"/>
          <w:szCs w:val="24"/>
          <w:lang w:val="en-IE"/>
        </w:rPr>
        <w:t>and the Platform tackling undeclared work and ensuring business continuity.</w:t>
      </w:r>
    </w:p>
    <w:p w14:paraId="468A546D" w14:textId="77777777" w:rsidR="0068460C" w:rsidRPr="00CD4F28" w:rsidRDefault="0068460C" w:rsidP="00A73694">
      <w:pPr>
        <w:pStyle w:val="BodyText"/>
        <w:tabs>
          <w:tab w:val="left" w:pos="0"/>
        </w:tabs>
        <w:spacing w:line="276" w:lineRule="auto"/>
        <w:ind w:right="283"/>
        <w:rPr>
          <w:rFonts w:ascii="Arial" w:hAnsi="Arial" w:cs="Arial"/>
          <w:sz w:val="24"/>
          <w:szCs w:val="24"/>
          <w:lang w:val="en-IE"/>
        </w:rPr>
      </w:pPr>
    </w:p>
    <w:p w14:paraId="3D4395EF" w14:textId="77777777" w:rsidR="00120CC6" w:rsidRDefault="00120CC6" w:rsidP="00A73694">
      <w:pPr>
        <w:pStyle w:val="BodyText"/>
        <w:tabs>
          <w:tab w:val="left" w:pos="0"/>
        </w:tabs>
        <w:spacing w:line="276" w:lineRule="auto"/>
        <w:ind w:right="283"/>
        <w:rPr>
          <w:rFonts w:ascii="Arial" w:hAnsi="Arial" w:cs="Arial"/>
          <w:sz w:val="24"/>
          <w:szCs w:val="24"/>
          <w:u w:val="single"/>
          <w:lang w:val="en-IE"/>
        </w:rPr>
      </w:pPr>
    </w:p>
    <w:p w14:paraId="3A491BBF" w14:textId="652450FB" w:rsidR="001D0405" w:rsidRPr="00CD4F28" w:rsidRDefault="003B260F" w:rsidP="00A73694">
      <w:pPr>
        <w:pStyle w:val="BodyText"/>
        <w:tabs>
          <w:tab w:val="left" w:pos="0"/>
        </w:tabs>
        <w:spacing w:line="276" w:lineRule="auto"/>
        <w:ind w:right="283"/>
        <w:rPr>
          <w:rFonts w:ascii="Arial" w:hAnsi="Arial" w:cs="Arial"/>
          <w:sz w:val="24"/>
          <w:szCs w:val="24"/>
          <w:u w:val="single"/>
          <w:lang w:val="en-IE"/>
        </w:rPr>
      </w:pPr>
      <w:r>
        <w:rPr>
          <w:rFonts w:ascii="Arial" w:hAnsi="Arial" w:cs="Arial"/>
          <w:sz w:val="24"/>
          <w:szCs w:val="24"/>
          <w:u w:val="single"/>
          <w:lang w:val="en-IE"/>
        </w:rPr>
        <w:t>Main actions and outputs</w:t>
      </w:r>
      <w:r w:rsidR="001D0405" w:rsidRPr="00CD4F28">
        <w:rPr>
          <w:rFonts w:ascii="Arial" w:hAnsi="Arial" w:cs="Arial"/>
          <w:sz w:val="24"/>
          <w:szCs w:val="24"/>
          <w:u w:val="single"/>
          <w:lang w:val="en-IE"/>
        </w:rPr>
        <w:t xml:space="preserve"> </w:t>
      </w:r>
    </w:p>
    <w:p w14:paraId="01DE0530" w14:textId="77777777" w:rsidR="00BA572C" w:rsidRPr="00CD4F28" w:rsidRDefault="00BA572C" w:rsidP="00A73694">
      <w:pPr>
        <w:pStyle w:val="BodyText"/>
        <w:tabs>
          <w:tab w:val="left" w:pos="0"/>
        </w:tabs>
        <w:spacing w:line="276" w:lineRule="auto"/>
        <w:ind w:right="283"/>
        <w:rPr>
          <w:rFonts w:ascii="Arial" w:hAnsi="Arial" w:cs="Arial"/>
          <w:b/>
          <w:sz w:val="24"/>
          <w:szCs w:val="24"/>
          <w:lang w:val="en-IE"/>
        </w:rPr>
      </w:pPr>
    </w:p>
    <w:p w14:paraId="4AECACA3" w14:textId="77777777" w:rsidR="000C0533" w:rsidRPr="000C0533" w:rsidRDefault="000C0533" w:rsidP="000C0533">
      <w:pPr>
        <w:pStyle w:val="ListParagraph"/>
        <w:numPr>
          <w:ilvl w:val="1"/>
          <w:numId w:val="11"/>
        </w:numPr>
        <w:tabs>
          <w:tab w:val="left" w:pos="0"/>
        </w:tabs>
        <w:spacing w:line="276" w:lineRule="auto"/>
        <w:ind w:right="283"/>
        <w:jc w:val="both"/>
        <w:rPr>
          <w:rFonts w:ascii="Arial" w:hAnsi="Arial" w:cs="Arial"/>
          <w:b/>
          <w:vanish/>
          <w:sz w:val="24"/>
          <w:szCs w:val="24"/>
          <w:lang w:val="en-IE"/>
        </w:rPr>
      </w:pPr>
    </w:p>
    <w:p w14:paraId="1D1FCDC7" w14:textId="04339BCD" w:rsidR="00DC7A1A" w:rsidRPr="00D03DF3" w:rsidRDefault="00DC7A1A" w:rsidP="000C0533">
      <w:pPr>
        <w:pStyle w:val="BodyText"/>
        <w:numPr>
          <w:ilvl w:val="2"/>
          <w:numId w:val="11"/>
        </w:numPr>
        <w:tabs>
          <w:tab w:val="left" w:pos="0"/>
        </w:tabs>
        <w:spacing w:line="276" w:lineRule="auto"/>
        <w:ind w:right="283"/>
        <w:jc w:val="both"/>
        <w:rPr>
          <w:rFonts w:ascii="Arial" w:hAnsi="Arial" w:cs="Arial"/>
          <w:b/>
          <w:sz w:val="24"/>
          <w:szCs w:val="24"/>
          <w:lang w:val="en-IE"/>
        </w:rPr>
      </w:pPr>
      <w:r w:rsidRPr="00CD4F28">
        <w:rPr>
          <w:rFonts w:ascii="Arial" w:hAnsi="Arial" w:cs="Arial"/>
          <w:b/>
          <w:sz w:val="24"/>
          <w:szCs w:val="24"/>
          <w:lang w:val="en-IE"/>
        </w:rPr>
        <w:t>Preparatory work for the transition of</w:t>
      </w:r>
      <w:r w:rsidR="00BA572C" w:rsidRPr="00CD4F28">
        <w:rPr>
          <w:rFonts w:ascii="Arial" w:hAnsi="Arial" w:cs="Arial"/>
          <w:b/>
          <w:sz w:val="24"/>
          <w:szCs w:val="24"/>
          <w:lang w:val="en-IE"/>
        </w:rPr>
        <w:t xml:space="preserve"> EURES</w:t>
      </w:r>
      <w:r w:rsidR="00EA3D22" w:rsidRPr="00CD4F28">
        <w:rPr>
          <w:rFonts w:ascii="Arial" w:hAnsi="Arial" w:cs="Arial"/>
          <w:b/>
          <w:sz w:val="24"/>
          <w:szCs w:val="24"/>
          <w:lang w:val="en-IE"/>
        </w:rPr>
        <w:t xml:space="preserve"> European Coordination Office</w:t>
      </w:r>
      <w:r w:rsidR="00BA572C" w:rsidRPr="00CD4F28">
        <w:rPr>
          <w:rFonts w:ascii="Arial" w:hAnsi="Arial" w:cs="Arial"/>
          <w:b/>
          <w:sz w:val="24"/>
          <w:szCs w:val="24"/>
          <w:lang w:val="en-IE"/>
        </w:rPr>
        <w:t xml:space="preserve"> </w:t>
      </w:r>
    </w:p>
    <w:p w14:paraId="0B02AABF" w14:textId="5107683E" w:rsid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D03DF3">
        <w:rPr>
          <w:rFonts w:ascii="Arial" w:eastAsia="Times New Roman" w:hAnsi="Arial" w:cs="Arial"/>
          <w:sz w:val="24"/>
          <w:szCs w:val="24"/>
          <w:lang w:val="en-IE"/>
        </w:rPr>
        <w:lastRenderedPageBreak/>
        <w:t>The EURES European network of employment services is a cooperation network designed to facilitate the free movement of workers within the EU countries, plus Switzerland, Iceland, Liechtenstein, Norway and the United Kingdom</w:t>
      </w:r>
      <w:r w:rsidRPr="00D03DF3">
        <w:rPr>
          <w:rFonts w:eastAsia="Times New Roman"/>
          <w:szCs w:val="24"/>
          <w:vertAlign w:val="superscript"/>
        </w:rPr>
        <w:footnoteReference w:id="6"/>
      </w:r>
      <w:r w:rsidRPr="00D03DF3">
        <w:rPr>
          <w:rFonts w:ascii="Arial" w:eastAsia="Times New Roman" w:hAnsi="Arial" w:cs="Arial"/>
          <w:sz w:val="24"/>
          <w:szCs w:val="24"/>
          <w:lang w:val="en-IE"/>
        </w:rPr>
        <w:t xml:space="preserve">. Established in 1994, the network has recently celebrated its 25th anniversary. </w:t>
      </w:r>
    </w:p>
    <w:p w14:paraId="2436FB6D" w14:textId="77777777" w:rsidR="00D03DF3" w:rsidRP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1FF14235" w14:textId="77777777" w:rsid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D03DF3">
        <w:rPr>
          <w:rFonts w:ascii="Arial" w:eastAsia="Times New Roman" w:hAnsi="Arial" w:cs="Arial"/>
          <w:sz w:val="24"/>
          <w:szCs w:val="24"/>
          <w:lang w:val="en-IE"/>
        </w:rPr>
        <w:t xml:space="preserve">The structure of EURES rests on two pillars. First, the EURES human network includes around 1 000 advisers working with jobseekers and employers in the participating countries, sharing practices and taking common cross-border initiatives throughout the network. Second, the EURES Portal provides an online service to facilitate the matching between 4 million job vacancies, 150 000 registered jobseekers and 14 500 employers who have registered in the portal from all across the Union. </w:t>
      </w:r>
    </w:p>
    <w:p w14:paraId="005D16BD" w14:textId="607FBFE3" w:rsidR="00D03DF3" w:rsidRP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D03DF3">
        <w:rPr>
          <w:rFonts w:ascii="Arial" w:eastAsia="Times New Roman" w:hAnsi="Arial" w:cs="Arial"/>
          <w:sz w:val="24"/>
          <w:szCs w:val="24"/>
          <w:lang w:val="en-IE"/>
        </w:rPr>
        <w:t xml:space="preserve"> </w:t>
      </w:r>
    </w:p>
    <w:p w14:paraId="0E3E10BA" w14:textId="2945224A" w:rsid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D03DF3">
        <w:rPr>
          <w:rFonts w:ascii="Arial" w:eastAsia="Times New Roman" w:hAnsi="Arial" w:cs="Arial"/>
          <w:sz w:val="24"/>
          <w:szCs w:val="24"/>
          <w:lang w:val="en-IE"/>
        </w:rPr>
        <w:t xml:space="preserve">In 2018, the EURES Portal had over 10 million visits, thereby listing amongst the top 5 most visited websites of the europa.eu domain. </w:t>
      </w:r>
    </w:p>
    <w:p w14:paraId="5C414926" w14:textId="77777777" w:rsidR="00D03DF3" w:rsidRP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7E146EA8" w14:textId="5794D0B2" w:rsid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D03DF3">
        <w:rPr>
          <w:rFonts w:ascii="Arial" w:eastAsia="Times New Roman" w:hAnsi="Arial" w:cs="Arial"/>
          <w:sz w:val="24"/>
          <w:szCs w:val="24"/>
          <w:lang w:val="en-IE"/>
        </w:rPr>
        <w:t>In this light, EURES enriches the activities of the European Labour Authority once transferred to the Authority, by providing a direct service to jobseekers and employers willing to make use of the opportunities offered by the rights of freedom of movement within the Union. In turn, the ELA enhances the activities and services provided by EURES by placing the network into the framework of a comprehensive and action-oriented institution dedicated to fair labour mobility across the Union.</w:t>
      </w:r>
    </w:p>
    <w:p w14:paraId="03171515" w14:textId="77777777" w:rsidR="00D03DF3" w:rsidRP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70E62F5A" w14:textId="076ADD82" w:rsid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D03DF3">
        <w:rPr>
          <w:rFonts w:ascii="Arial" w:eastAsia="Times New Roman" w:hAnsi="Arial" w:cs="Arial"/>
          <w:sz w:val="24"/>
          <w:szCs w:val="24"/>
          <w:lang w:val="en-IE"/>
        </w:rPr>
        <w:t>In accordance with Article 6 of Regulation (EU) 2019/1149, the ELA will manage the activities of the European Coordination Office (ECO) of EURES. The box below summarises the responsibilities of ECO in assisting the network, which will thus be the core business of the ELA in 2021.</w:t>
      </w:r>
    </w:p>
    <w:p w14:paraId="29C07F6C" w14:textId="77777777" w:rsidR="00D03DF3" w:rsidRPr="00D03DF3" w:rsidRDefault="00D03DF3" w:rsidP="00D03DF3">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3909A0AC" w14:textId="7CFC0F42" w:rsidR="00D03DF3" w:rsidRDefault="00D03DF3" w:rsidP="00D03DF3">
      <w:pPr>
        <w:jc w:val="both"/>
        <w:rPr>
          <w:rFonts w:ascii="Arial" w:hAnsi="Arial" w:cs="Arial"/>
          <w:b/>
          <w:lang w:val="en-IE"/>
        </w:rPr>
      </w:pPr>
      <w:r w:rsidRPr="001E0D05">
        <w:rPr>
          <w:rFonts w:ascii="Arial" w:hAnsi="Arial" w:cs="Arial"/>
          <w:b/>
          <w:lang w:val="en-IE"/>
        </w:rPr>
        <w:t>Responsibilities of the European Coordination Office</w:t>
      </w:r>
    </w:p>
    <w:p w14:paraId="6CE25408" w14:textId="77777777" w:rsidR="00D03DF3" w:rsidRPr="001E0D05" w:rsidRDefault="00D03DF3" w:rsidP="00D03DF3">
      <w:pPr>
        <w:jc w:val="both"/>
        <w:rPr>
          <w:rFonts w:ascii="Arial" w:hAnsi="Arial" w:cs="Arial"/>
          <w:b/>
          <w:lang w:val="en-IE"/>
        </w:rPr>
      </w:pPr>
    </w:p>
    <w:tbl>
      <w:tblPr>
        <w:tblStyle w:val="TableGrid"/>
        <w:tblW w:w="0" w:type="auto"/>
        <w:tblBorders>
          <w:top w:val="single" w:sz="8" w:space="0" w:color="993366"/>
          <w:left w:val="single" w:sz="4" w:space="0" w:color="993366"/>
          <w:bottom w:val="single" w:sz="6" w:space="0" w:color="993366"/>
          <w:right w:val="single" w:sz="8" w:space="0" w:color="99336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D03DF3" w:rsidRPr="001E0D05" w14:paraId="758B669D" w14:textId="77777777" w:rsidTr="009520DB">
        <w:tc>
          <w:tcPr>
            <w:tcW w:w="9212" w:type="dxa"/>
            <w:tcBorders>
              <w:top w:val="single" w:sz="8" w:space="0" w:color="993366"/>
            </w:tcBorders>
            <w:shd w:val="clear" w:color="auto" w:fill="F2F2F2" w:themeFill="background1" w:themeFillShade="F2"/>
          </w:tcPr>
          <w:p w14:paraId="4165BD40" w14:textId="77777777" w:rsidR="00D03DF3" w:rsidRPr="001E0D05" w:rsidRDefault="00D03DF3" w:rsidP="009520DB">
            <w:pPr>
              <w:jc w:val="both"/>
              <w:rPr>
                <w:rFonts w:ascii="Arial" w:hAnsi="Arial" w:cs="Arial"/>
                <w:i/>
                <w:sz w:val="24"/>
                <w:szCs w:val="24"/>
                <w:lang w:val="en-IE"/>
              </w:rPr>
            </w:pPr>
            <w:r w:rsidRPr="001E0D05">
              <w:rPr>
                <w:rFonts w:ascii="Arial" w:hAnsi="Arial" w:cs="Arial"/>
                <w:i/>
                <w:sz w:val="24"/>
                <w:szCs w:val="24"/>
                <w:lang w:val="en-IE"/>
              </w:rPr>
              <w:t>Article 8 of Regulation (EU) 2016/589</w:t>
            </w:r>
          </w:p>
          <w:p w14:paraId="771A2720" w14:textId="77777777" w:rsidR="00D03DF3" w:rsidRPr="001E0D05" w:rsidRDefault="00D03DF3" w:rsidP="009520DB">
            <w:pPr>
              <w:jc w:val="both"/>
              <w:rPr>
                <w:rFonts w:ascii="Arial" w:hAnsi="Arial" w:cs="Arial"/>
                <w:sz w:val="24"/>
                <w:szCs w:val="24"/>
                <w:lang w:val="en-IE"/>
              </w:rPr>
            </w:pPr>
            <w:r w:rsidRPr="001E0D05">
              <w:rPr>
                <w:rFonts w:ascii="Arial" w:hAnsi="Arial" w:cs="Arial"/>
                <w:sz w:val="24"/>
                <w:szCs w:val="24"/>
                <w:lang w:val="en-IE"/>
              </w:rPr>
              <w:t>The European Coordination Office develops and conducts, in cooperation with the National Coordination Offices (NCOs), the following activities:</w:t>
            </w:r>
          </w:p>
          <w:p w14:paraId="415BDF86" w14:textId="77777777" w:rsidR="00D03DF3" w:rsidRPr="001E0D05" w:rsidRDefault="00D03DF3" w:rsidP="00D03DF3">
            <w:pPr>
              <w:pStyle w:val="ListParagraph"/>
              <w:widowControl/>
              <w:numPr>
                <w:ilvl w:val="0"/>
                <w:numId w:val="18"/>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1E0D05">
              <w:rPr>
                <w:rFonts w:ascii="Arial" w:hAnsi="Arial" w:cs="Arial"/>
                <w:sz w:val="24"/>
                <w:szCs w:val="24"/>
                <w:lang w:val="en-IE"/>
              </w:rPr>
              <w:t>the formulation of a coherent framework and the provision of horizontal support activities for the EURES network, including</w:t>
            </w:r>
          </w:p>
          <w:p w14:paraId="7C9AFCE8" w14:textId="77777777" w:rsidR="00D03DF3" w:rsidRPr="001E0D05" w:rsidRDefault="00D03DF3" w:rsidP="00D03DF3">
            <w:pPr>
              <w:pStyle w:val="ListParagraph"/>
              <w:widowControl/>
              <w:numPr>
                <w:ilvl w:val="1"/>
                <w:numId w:val="18"/>
              </w:numPr>
              <w:tabs>
                <w:tab w:val="left" w:pos="0"/>
              </w:tabs>
              <w:autoSpaceDE/>
              <w:autoSpaceDN/>
              <w:spacing w:after="200" w:line="276" w:lineRule="auto"/>
              <w:ind w:left="1134" w:right="283" w:hanging="425"/>
              <w:contextualSpacing/>
              <w:jc w:val="both"/>
              <w:rPr>
                <w:rFonts w:ascii="Arial" w:hAnsi="Arial" w:cs="Arial"/>
                <w:sz w:val="24"/>
                <w:szCs w:val="24"/>
                <w:lang w:val="en-IE"/>
              </w:rPr>
            </w:pPr>
            <w:r w:rsidRPr="001E0D05">
              <w:rPr>
                <w:rFonts w:ascii="Arial" w:hAnsi="Arial" w:cs="Arial"/>
                <w:sz w:val="24"/>
                <w:szCs w:val="24"/>
                <w:lang w:val="en-IE"/>
              </w:rPr>
              <w:t>the operation and development of the EURES portal, and related IT services;</w:t>
            </w:r>
          </w:p>
          <w:p w14:paraId="60E53954" w14:textId="77777777" w:rsidR="00D03DF3" w:rsidRPr="001E0D05" w:rsidRDefault="00D03DF3" w:rsidP="00D03DF3">
            <w:pPr>
              <w:pStyle w:val="ListParagraph"/>
              <w:widowControl/>
              <w:numPr>
                <w:ilvl w:val="1"/>
                <w:numId w:val="18"/>
              </w:numPr>
              <w:tabs>
                <w:tab w:val="left" w:pos="0"/>
              </w:tabs>
              <w:autoSpaceDE/>
              <w:autoSpaceDN/>
              <w:spacing w:after="200" w:line="276" w:lineRule="auto"/>
              <w:ind w:left="1134" w:right="283" w:hanging="425"/>
              <w:contextualSpacing/>
              <w:jc w:val="both"/>
              <w:rPr>
                <w:rFonts w:ascii="Arial" w:hAnsi="Arial" w:cs="Arial"/>
                <w:sz w:val="24"/>
                <w:szCs w:val="24"/>
                <w:lang w:val="en-IE"/>
              </w:rPr>
            </w:pPr>
            <w:r w:rsidRPr="001E0D05">
              <w:rPr>
                <w:rFonts w:ascii="Arial" w:hAnsi="Arial" w:cs="Arial"/>
                <w:sz w:val="24"/>
                <w:szCs w:val="24"/>
                <w:lang w:val="en-IE"/>
              </w:rPr>
              <w:t>information and communication activities regarding the EURES network;</w:t>
            </w:r>
          </w:p>
          <w:p w14:paraId="54D53ED4" w14:textId="77777777" w:rsidR="00D03DF3" w:rsidRPr="001E0D05" w:rsidRDefault="00D03DF3" w:rsidP="00D03DF3">
            <w:pPr>
              <w:pStyle w:val="ListParagraph"/>
              <w:widowControl/>
              <w:numPr>
                <w:ilvl w:val="1"/>
                <w:numId w:val="18"/>
              </w:numPr>
              <w:tabs>
                <w:tab w:val="left" w:pos="0"/>
              </w:tabs>
              <w:autoSpaceDE/>
              <w:autoSpaceDN/>
              <w:spacing w:after="200" w:line="276" w:lineRule="auto"/>
              <w:ind w:left="1134" w:right="283" w:hanging="425"/>
              <w:contextualSpacing/>
              <w:jc w:val="both"/>
              <w:rPr>
                <w:rFonts w:ascii="Arial" w:hAnsi="Arial" w:cs="Arial"/>
                <w:sz w:val="24"/>
                <w:szCs w:val="24"/>
                <w:lang w:val="en-IE"/>
              </w:rPr>
            </w:pPr>
            <w:r w:rsidRPr="001E0D05">
              <w:rPr>
                <w:rFonts w:ascii="Arial" w:hAnsi="Arial" w:cs="Arial"/>
                <w:sz w:val="24"/>
                <w:szCs w:val="24"/>
                <w:lang w:val="en-IE"/>
              </w:rPr>
              <w:lastRenderedPageBreak/>
              <w:t>a common training programme and continuous professional development for the staff of the EURES Members and Partners, and of the NCOs;</w:t>
            </w:r>
          </w:p>
          <w:p w14:paraId="13D839C3" w14:textId="77777777" w:rsidR="00D03DF3" w:rsidRPr="001E0D05" w:rsidRDefault="00D03DF3" w:rsidP="00D03DF3">
            <w:pPr>
              <w:pStyle w:val="ListParagraph"/>
              <w:widowControl/>
              <w:numPr>
                <w:ilvl w:val="1"/>
                <w:numId w:val="18"/>
              </w:numPr>
              <w:tabs>
                <w:tab w:val="left" w:pos="0"/>
              </w:tabs>
              <w:autoSpaceDE/>
              <w:autoSpaceDN/>
              <w:spacing w:after="200" w:line="276" w:lineRule="auto"/>
              <w:ind w:left="1134" w:right="283" w:hanging="425"/>
              <w:contextualSpacing/>
              <w:jc w:val="both"/>
              <w:rPr>
                <w:rFonts w:ascii="Arial" w:hAnsi="Arial" w:cs="Arial"/>
                <w:sz w:val="24"/>
                <w:szCs w:val="24"/>
                <w:lang w:val="en-IE"/>
              </w:rPr>
            </w:pPr>
            <w:r w:rsidRPr="001E0D05">
              <w:rPr>
                <w:rFonts w:ascii="Arial" w:hAnsi="Arial" w:cs="Arial"/>
                <w:sz w:val="24"/>
                <w:szCs w:val="24"/>
                <w:lang w:val="en-IE"/>
              </w:rPr>
              <w:t>a helpdesk function supporting the staff of the EURES Members and Partners and NCOs;</w:t>
            </w:r>
          </w:p>
          <w:p w14:paraId="692CB325" w14:textId="77777777" w:rsidR="00D03DF3" w:rsidRPr="001E0D05" w:rsidRDefault="00D03DF3" w:rsidP="00D03DF3">
            <w:pPr>
              <w:pStyle w:val="ListParagraph"/>
              <w:widowControl/>
              <w:numPr>
                <w:ilvl w:val="1"/>
                <w:numId w:val="18"/>
              </w:numPr>
              <w:tabs>
                <w:tab w:val="left" w:pos="0"/>
              </w:tabs>
              <w:autoSpaceDE/>
              <w:autoSpaceDN/>
              <w:spacing w:after="200" w:line="276" w:lineRule="auto"/>
              <w:ind w:left="1134" w:right="283" w:hanging="425"/>
              <w:contextualSpacing/>
              <w:jc w:val="both"/>
              <w:rPr>
                <w:rFonts w:ascii="Arial" w:hAnsi="Arial" w:cs="Arial"/>
                <w:sz w:val="24"/>
                <w:szCs w:val="24"/>
                <w:lang w:val="en-IE"/>
              </w:rPr>
            </w:pPr>
            <w:r w:rsidRPr="001E0D05">
              <w:rPr>
                <w:rFonts w:ascii="Arial" w:hAnsi="Arial" w:cs="Arial"/>
                <w:sz w:val="24"/>
                <w:szCs w:val="24"/>
                <w:lang w:val="en-IE"/>
              </w:rPr>
              <w:t>the facilitation of networking, exchange of best practices and mutual learning within the network.</w:t>
            </w:r>
          </w:p>
          <w:p w14:paraId="72E19351" w14:textId="77777777" w:rsidR="00D03DF3" w:rsidRPr="001E0D05" w:rsidRDefault="00D03DF3" w:rsidP="00D03DF3">
            <w:pPr>
              <w:pStyle w:val="ListParagraph"/>
              <w:widowControl/>
              <w:numPr>
                <w:ilvl w:val="0"/>
                <w:numId w:val="18"/>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1E0D05">
              <w:rPr>
                <w:rFonts w:ascii="Arial" w:hAnsi="Arial" w:cs="Arial"/>
                <w:sz w:val="24"/>
                <w:szCs w:val="24"/>
                <w:lang w:val="en-IE"/>
              </w:rPr>
              <w:t>the analysis of geographic and occupational mobility;</w:t>
            </w:r>
          </w:p>
          <w:p w14:paraId="52DD7473" w14:textId="77777777" w:rsidR="00D03DF3" w:rsidRPr="001E0D05" w:rsidRDefault="00D03DF3" w:rsidP="00D03DF3">
            <w:pPr>
              <w:pStyle w:val="ListParagraph"/>
              <w:widowControl/>
              <w:numPr>
                <w:ilvl w:val="0"/>
                <w:numId w:val="18"/>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1E0D05">
              <w:rPr>
                <w:rFonts w:ascii="Arial" w:hAnsi="Arial" w:cs="Arial"/>
                <w:sz w:val="24"/>
                <w:szCs w:val="24"/>
                <w:lang w:val="en-IE"/>
              </w:rPr>
              <w:t>the development of an appropriate cooperation and clearance structure for apprenticeships and traineeships.</w:t>
            </w:r>
          </w:p>
          <w:p w14:paraId="14C93A85" w14:textId="77777777" w:rsidR="00D03DF3" w:rsidRPr="001E0D05" w:rsidRDefault="00D03DF3" w:rsidP="009520DB">
            <w:pPr>
              <w:jc w:val="both"/>
              <w:rPr>
                <w:rFonts w:ascii="Arial" w:hAnsi="Arial" w:cs="Arial"/>
                <w:sz w:val="24"/>
                <w:szCs w:val="24"/>
                <w:lang w:val="en-IE"/>
              </w:rPr>
            </w:pPr>
            <w:r w:rsidRPr="001E0D05">
              <w:rPr>
                <w:rFonts w:ascii="Arial" w:hAnsi="Arial" w:cs="Arial"/>
                <w:sz w:val="24"/>
                <w:szCs w:val="24"/>
                <w:lang w:val="en-IE"/>
              </w:rPr>
              <w:t>The European Coordination Office shall establish a regular dialogue with the representatives of the social partners at Union level. It shall draw up its multiannual work programmes, in consultation with the European Coordination Group.</w:t>
            </w:r>
          </w:p>
          <w:p w14:paraId="06D6B286" w14:textId="77777777" w:rsidR="00D03DF3" w:rsidRPr="001E0D05" w:rsidRDefault="00D03DF3" w:rsidP="009520DB">
            <w:pPr>
              <w:jc w:val="both"/>
              <w:rPr>
                <w:rFonts w:ascii="Arial" w:hAnsi="Arial" w:cs="Arial"/>
                <w:i/>
                <w:lang w:val="en-IE"/>
              </w:rPr>
            </w:pPr>
          </w:p>
        </w:tc>
      </w:tr>
    </w:tbl>
    <w:p w14:paraId="7FEC8E1E" w14:textId="77777777" w:rsidR="00D03DF3" w:rsidRPr="001E0D05" w:rsidRDefault="00D03DF3" w:rsidP="00D03DF3">
      <w:pPr>
        <w:jc w:val="both"/>
        <w:rPr>
          <w:rFonts w:ascii="Arial" w:hAnsi="Arial" w:cs="Arial"/>
          <w:i/>
          <w:sz w:val="20"/>
          <w:szCs w:val="20"/>
          <w:lang w:val="en-IE"/>
        </w:rPr>
      </w:pPr>
    </w:p>
    <w:p w14:paraId="3115031F" w14:textId="5F394F77" w:rsidR="00D03DF3" w:rsidRDefault="00D03DF3" w:rsidP="00D03DF3">
      <w:pPr>
        <w:rPr>
          <w:rFonts w:ascii="Arial" w:hAnsi="Arial" w:cs="Arial"/>
          <w:b/>
          <w:sz w:val="24"/>
          <w:lang w:val="en-IE"/>
        </w:rPr>
      </w:pPr>
      <w:r w:rsidRPr="00280AA1">
        <w:rPr>
          <w:rFonts w:ascii="Arial" w:hAnsi="Arial" w:cs="Arial"/>
          <w:b/>
          <w:sz w:val="24"/>
          <w:lang w:val="en-IE"/>
        </w:rPr>
        <w:t>Ensuring business continuity during transfer</w:t>
      </w:r>
    </w:p>
    <w:p w14:paraId="34AA842A" w14:textId="77777777" w:rsidR="000C0533" w:rsidRPr="00280AA1" w:rsidRDefault="000C0533" w:rsidP="00D03DF3">
      <w:pPr>
        <w:rPr>
          <w:rFonts w:ascii="Arial" w:hAnsi="Arial" w:cs="Arial"/>
          <w:b/>
          <w:sz w:val="24"/>
          <w:lang w:val="en-IE"/>
        </w:rPr>
      </w:pPr>
    </w:p>
    <w:p w14:paraId="0E25773C" w14:textId="51AA8A19" w:rsidR="00D03DF3" w:rsidRDefault="00D03DF3" w:rsidP="00D03DF3">
      <w:pPr>
        <w:jc w:val="both"/>
        <w:rPr>
          <w:rFonts w:ascii="Arial" w:hAnsi="Arial" w:cs="Arial"/>
          <w:sz w:val="24"/>
          <w:lang w:val="en-IE"/>
        </w:rPr>
      </w:pPr>
      <w:r w:rsidRPr="00280AA1">
        <w:rPr>
          <w:rFonts w:ascii="Arial" w:hAnsi="Arial" w:cs="Arial"/>
          <w:sz w:val="24"/>
          <w:lang w:val="en-IE"/>
        </w:rPr>
        <w:t>As from 2021, the entire budget of the activities placed under the responsibility of EURES ECO will be part of ELA Budget.</w:t>
      </w:r>
      <w:r w:rsidRPr="001E0D05">
        <w:rPr>
          <w:rFonts w:ascii="Arial" w:hAnsi="Arial" w:cs="Arial"/>
          <w:sz w:val="24"/>
          <w:lang w:val="en-IE"/>
        </w:rPr>
        <w:t xml:space="preserve"> </w:t>
      </w:r>
    </w:p>
    <w:p w14:paraId="1680B23B" w14:textId="77777777" w:rsidR="00D03DF3" w:rsidRPr="001E0D05" w:rsidRDefault="00D03DF3" w:rsidP="00D03DF3">
      <w:pPr>
        <w:jc w:val="both"/>
        <w:rPr>
          <w:rFonts w:ascii="Arial" w:hAnsi="Arial" w:cs="Arial"/>
          <w:sz w:val="24"/>
          <w:lang w:val="en-IE"/>
        </w:rPr>
      </w:pPr>
    </w:p>
    <w:p w14:paraId="4E5BEA66" w14:textId="4EE46467" w:rsidR="00D03DF3" w:rsidRDefault="00D03DF3" w:rsidP="00D03DF3">
      <w:pPr>
        <w:jc w:val="both"/>
        <w:rPr>
          <w:rFonts w:ascii="Arial" w:hAnsi="Arial" w:cs="Arial"/>
          <w:sz w:val="24"/>
          <w:lang w:val="en-IE"/>
        </w:rPr>
      </w:pPr>
      <w:r w:rsidRPr="001E0D05">
        <w:rPr>
          <w:rFonts w:ascii="Arial" w:hAnsi="Arial" w:cs="Arial"/>
          <w:sz w:val="24"/>
          <w:lang w:val="en-IE"/>
        </w:rPr>
        <w:t xml:space="preserve">In view of this deadline, the ELA will closely cooperate with the Commission in order to programme and participate in upcoming events, including by liaising with external contractors and prepare the relevant documentation. The objective is to ensure full continuity of business through an orderly transfer from the Commission of organisation, skills, knowledge and contracts.  </w:t>
      </w:r>
    </w:p>
    <w:p w14:paraId="2AECA354" w14:textId="77777777" w:rsidR="00D03DF3" w:rsidRPr="001E0D05" w:rsidRDefault="00D03DF3" w:rsidP="00D03DF3">
      <w:pPr>
        <w:jc w:val="both"/>
        <w:rPr>
          <w:rFonts w:ascii="Arial" w:hAnsi="Arial" w:cs="Arial"/>
          <w:sz w:val="24"/>
          <w:lang w:val="en-IE"/>
        </w:rPr>
      </w:pPr>
    </w:p>
    <w:p w14:paraId="373C2E56" w14:textId="7748D634" w:rsidR="00D03DF3" w:rsidRDefault="00D03DF3" w:rsidP="00D03DF3">
      <w:pPr>
        <w:jc w:val="both"/>
        <w:rPr>
          <w:rFonts w:ascii="Arial" w:hAnsi="Arial" w:cs="Arial"/>
          <w:sz w:val="24"/>
          <w:lang w:val="en-IE"/>
        </w:rPr>
      </w:pPr>
      <w:r w:rsidRPr="001E0D05">
        <w:rPr>
          <w:rFonts w:ascii="Arial" w:hAnsi="Arial" w:cs="Arial"/>
          <w:sz w:val="24"/>
          <w:lang w:val="en-IE"/>
        </w:rPr>
        <w:t xml:space="preserve">The ELA will carry out a process of targeted recruitment of human resources to ensure the above mentioned transfer of competences. </w:t>
      </w:r>
      <w:r>
        <w:rPr>
          <w:rFonts w:ascii="Arial" w:hAnsi="Arial" w:cs="Arial"/>
          <w:sz w:val="24"/>
          <w:lang w:val="en-IE"/>
        </w:rPr>
        <w:t xml:space="preserve">ELA staff will </w:t>
      </w:r>
      <w:r w:rsidRPr="001E0D05">
        <w:rPr>
          <w:rFonts w:ascii="Arial" w:hAnsi="Arial" w:cs="Arial"/>
          <w:sz w:val="24"/>
          <w:lang w:val="en-IE"/>
        </w:rPr>
        <w:t>“job</w:t>
      </w:r>
      <w:r>
        <w:rPr>
          <w:rFonts w:ascii="Arial" w:hAnsi="Arial" w:cs="Arial"/>
          <w:sz w:val="24"/>
          <w:lang w:val="en-IE"/>
        </w:rPr>
        <w:t>-</w:t>
      </w:r>
      <w:r w:rsidRPr="001E0D05">
        <w:rPr>
          <w:rFonts w:ascii="Arial" w:hAnsi="Arial" w:cs="Arial"/>
          <w:sz w:val="24"/>
          <w:lang w:val="en-IE"/>
        </w:rPr>
        <w:t xml:space="preserve">shadow” </w:t>
      </w:r>
      <w:r>
        <w:rPr>
          <w:rFonts w:ascii="Arial" w:hAnsi="Arial" w:cs="Arial"/>
          <w:sz w:val="24"/>
          <w:lang w:val="en-IE"/>
        </w:rPr>
        <w:t>Commission’s staff during</w:t>
      </w:r>
      <w:r w:rsidRPr="001E0D05">
        <w:rPr>
          <w:rFonts w:ascii="Arial" w:hAnsi="Arial" w:cs="Arial"/>
          <w:sz w:val="24"/>
          <w:lang w:val="en-IE"/>
        </w:rPr>
        <w:t xml:space="preserve"> 2020. </w:t>
      </w:r>
      <w:r>
        <w:rPr>
          <w:rFonts w:ascii="Arial" w:hAnsi="Arial" w:cs="Arial"/>
          <w:sz w:val="24"/>
          <w:lang w:val="en-IE"/>
        </w:rPr>
        <w:t>At the end</w:t>
      </w:r>
      <w:r w:rsidRPr="001E0D05">
        <w:rPr>
          <w:rFonts w:ascii="Arial" w:hAnsi="Arial" w:cs="Arial"/>
          <w:sz w:val="24"/>
          <w:lang w:val="en-IE"/>
        </w:rPr>
        <w:t xml:space="preserve"> of 2020, the ELA will co-organise events and programming for 2021 alongside Commission staff. </w:t>
      </w:r>
    </w:p>
    <w:p w14:paraId="404E6D85" w14:textId="77777777" w:rsidR="00D03DF3" w:rsidRPr="001E0D05" w:rsidRDefault="00D03DF3" w:rsidP="00D03DF3">
      <w:pPr>
        <w:jc w:val="both"/>
        <w:rPr>
          <w:rFonts w:ascii="Arial" w:hAnsi="Arial" w:cs="Arial"/>
          <w:sz w:val="24"/>
          <w:lang w:val="en-IE"/>
        </w:rPr>
      </w:pPr>
    </w:p>
    <w:p w14:paraId="1ACA6692" w14:textId="2EA8D41F" w:rsidR="00D03DF3" w:rsidRDefault="00D03DF3" w:rsidP="00D03DF3">
      <w:pPr>
        <w:jc w:val="both"/>
        <w:rPr>
          <w:rFonts w:ascii="Arial" w:hAnsi="Arial" w:cs="Arial"/>
          <w:sz w:val="24"/>
          <w:lang w:val="en-IE"/>
        </w:rPr>
      </w:pPr>
      <w:r w:rsidRPr="001E0D05">
        <w:rPr>
          <w:rFonts w:ascii="Arial" w:hAnsi="Arial" w:cs="Arial"/>
          <w:sz w:val="24"/>
          <w:lang w:val="en-IE"/>
        </w:rPr>
        <w:t>All ongoing contracts between the Commission and external service providers assisting the execution of different EURES tasks include a clause transferring the contracting authority from the Commission to the ELA, thereby ensuring contractual continuity.</w:t>
      </w:r>
    </w:p>
    <w:p w14:paraId="1DDE7CBC" w14:textId="77777777" w:rsidR="00D03DF3" w:rsidRPr="001E0D05" w:rsidRDefault="00D03DF3" w:rsidP="00D03DF3">
      <w:pPr>
        <w:jc w:val="both"/>
        <w:rPr>
          <w:rFonts w:ascii="Arial" w:hAnsi="Arial" w:cs="Arial"/>
          <w:sz w:val="24"/>
          <w:lang w:val="en-IE"/>
        </w:rPr>
      </w:pPr>
    </w:p>
    <w:p w14:paraId="61CDB3E5" w14:textId="7839876B" w:rsidR="00D03DF3" w:rsidRDefault="00D03DF3" w:rsidP="00D03DF3">
      <w:pPr>
        <w:jc w:val="both"/>
        <w:rPr>
          <w:rFonts w:ascii="Arial" w:hAnsi="Arial" w:cs="Arial"/>
          <w:sz w:val="24"/>
          <w:lang w:val="en-IE"/>
        </w:rPr>
      </w:pPr>
      <w:r w:rsidRPr="001E0D05">
        <w:rPr>
          <w:rFonts w:ascii="Arial" w:hAnsi="Arial" w:cs="Arial"/>
          <w:sz w:val="24"/>
          <w:lang w:val="en-IE"/>
        </w:rPr>
        <w:t>The ELA will use appropriations from the 2020 budget to finance activities that will be carried out in 2021.</w:t>
      </w:r>
    </w:p>
    <w:p w14:paraId="520D1EF0" w14:textId="77777777" w:rsidR="00D03DF3" w:rsidRPr="001E0D05" w:rsidRDefault="00D03DF3" w:rsidP="00D03DF3">
      <w:pPr>
        <w:jc w:val="both"/>
        <w:rPr>
          <w:rFonts w:ascii="Arial" w:hAnsi="Arial" w:cs="Arial"/>
          <w:sz w:val="24"/>
          <w:lang w:val="en-IE"/>
        </w:rPr>
      </w:pPr>
    </w:p>
    <w:p w14:paraId="2B7B559F" w14:textId="77777777" w:rsidR="00D03DF3" w:rsidRPr="001E0D05" w:rsidRDefault="00D03DF3" w:rsidP="00D03DF3">
      <w:pPr>
        <w:rPr>
          <w:rFonts w:ascii="Arial" w:hAnsi="Arial" w:cs="Arial"/>
          <w:b/>
          <w:sz w:val="24"/>
          <w:lang w:val="en-IE"/>
        </w:rPr>
      </w:pPr>
      <w:r w:rsidRPr="001E0D05">
        <w:rPr>
          <w:rFonts w:ascii="Arial" w:hAnsi="Arial" w:cs="Arial"/>
          <w:b/>
          <w:sz w:val="24"/>
          <w:lang w:val="en-IE"/>
        </w:rPr>
        <w:t xml:space="preserve">Human resources </w:t>
      </w:r>
    </w:p>
    <w:p w14:paraId="35909126" w14:textId="2A5395CF" w:rsidR="00D03DF3" w:rsidRDefault="00D03DF3" w:rsidP="00D03DF3">
      <w:pPr>
        <w:jc w:val="both"/>
        <w:rPr>
          <w:rFonts w:ascii="Arial" w:hAnsi="Arial" w:cs="Arial"/>
          <w:sz w:val="24"/>
          <w:lang w:val="en-IE"/>
        </w:rPr>
      </w:pPr>
      <w:r w:rsidRPr="001E0D05">
        <w:rPr>
          <w:rFonts w:ascii="Arial" w:hAnsi="Arial" w:cs="Arial"/>
          <w:sz w:val="24"/>
          <w:lang w:val="en-IE"/>
        </w:rPr>
        <w:t>The timely recruitment and training of staff to carry out the tasks is essential for the smooth continuity of business of the EURES network.</w:t>
      </w:r>
    </w:p>
    <w:p w14:paraId="63A6FACB" w14:textId="77777777" w:rsidR="00D03DF3" w:rsidRPr="001E0D05" w:rsidRDefault="00D03DF3" w:rsidP="00D03DF3">
      <w:pPr>
        <w:jc w:val="both"/>
        <w:rPr>
          <w:rFonts w:ascii="Arial" w:hAnsi="Arial" w:cs="Arial"/>
          <w:sz w:val="24"/>
          <w:lang w:val="en-IE"/>
        </w:rPr>
      </w:pPr>
    </w:p>
    <w:p w14:paraId="061D3739" w14:textId="5A7B64E3" w:rsidR="00D03DF3" w:rsidRDefault="00D03DF3" w:rsidP="00D03DF3">
      <w:pPr>
        <w:jc w:val="both"/>
        <w:rPr>
          <w:rFonts w:ascii="Arial" w:hAnsi="Arial" w:cs="Arial"/>
          <w:sz w:val="24"/>
          <w:lang w:val="en-IE"/>
        </w:rPr>
      </w:pPr>
      <w:r w:rsidRPr="001E0D05">
        <w:rPr>
          <w:rFonts w:ascii="Arial" w:hAnsi="Arial" w:cs="Arial"/>
          <w:sz w:val="24"/>
          <w:lang w:val="en-IE"/>
        </w:rPr>
        <w:t xml:space="preserve">With this objective in mind, the ELA will carry out a recruitment plan targeted at EURES experts during 2020, including an experienced Business manager for the EURES Portal and the necessary information and communication staff. </w:t>
      </w:r>
    </w:p>
    <w:p w14:paraId="4ADA2BB6" w14:textId="77777777" w:rsidR="00D03DF3" w:rsidRPr="001E0D05" w:rsidRDefault="00D03DF3" w:rsidP="00D03DF3">
      <w:pPr>
        <w:jc w:val="both"/>
        <w:rPr>
          <w:rFonts w:ascii="Arial" w:hAnsi="Arial" w:cs="Arial"/>
          <w:sz w:val="24"/>
          <w:lang w:val="en-IE"/>
        </w:rPr>
      </w:pPr>
    </w:p>
    <w:p w14:paraId="29DC4612" w14:textId="77777777" w:rsidR="00D03DF3" w:rsidRDefault="00D03DF3" w:rsidP="00D03DF3">
      <w:pPr>
        <w:jc w:val="both"/>
        <w:rPr>
          <w:rFonts w:ascii="Arial" w:hAnsi="Arial" w:cs="Arial"/>
          <w:sz w:val="24"/>
          <w:lang w:val="en-IE"/>
        </w:rPr>
      </w:pPr>
      <w:r w:rsidRPr="001E0D05">
        <w:rPr>
          <w:rFonts w:ascii="Arial" w:hAnsi="Arial" w:cs="Arial"/>
          <w:sz w:val="24"/>
          <w:lang w:val="en-IE"/>
        </w:rPr>
        <w:t>The ELA will recruit these experts on time to provide them with adequate training, including through assisting the Commission’s officers currently carrying out EURES-</w:t>
      </w:r>
      <w:r w:rsidRPr="001E0D05">
        <w:rPr>
          <w:rFonts w:ascii="Arial" w:hAnsi="Arial" w:cs="Arial"/>
          <w:sz w:val="24"/>
          <w:lang w:val="en-IE"/>
        </w:rPr>
        <w:lastRenderedPageBreak/>
        <w:t>related activities, in view of the transfer.</w:t>
      </w:r>
    </w:p>
    <w:p w14:paraId="0278FB82" w14:textId="77777777" w:rsidR="00D03DF3" w:rsidRPr="001E0D05" w:rsidRDefault="00D03DF3" w:rsidP="00D03DF3">
      <w:pPr>
        <w:jc w:val="both"/>
        <w:rPr>
          <w:rFonts w:ascii="Arial" w:hAnsi="Arial" w:cs="Arial"/>
          <w:sz w:val="24"/>
          <w:lang w:val="en-IE"/>
        </w:rPr>
      </w:pPr>
    </w:p>
    <w:p w14:paraId="76554AF8" w14:textId="77777777" w:rsidR="00D03DF3" w:rsidRPr="001E0D05" w:rsidRDefault="00D03DF3" w:rsidP="00D03DF3">
      <w:pPr>
        <w:jc w:val="both"/>
        <w:rPr>
          <w:rFonts w:ascii="Arial" w:hAnsi="Arial" w:cs="Arial"/>
          <w:b/>
          <w:sz w:val="24"/>
          <w:lang w:val="en-IE"/>
        </w:rPr>
      </w:pPr>
      <w:r w:rsidRPr="001E0D05">
        <w:rPr>
          <w:rFonts w:ascii="Arial" w:hAnsi="Arial" w:cs="Arial"/>
          <w:b/>
          <w:sz w:val="24"/>
          <w:lang w:val="en-IE"/>
        </w:rPr>
        <w:t>Operational Activities</w:t>
      </w:r>
    </w:p>
    <w:p w14:paraId="4129F466" w14:textId="6545B834" w:rsidR="00D03DF3" w:rsidRDefault="00D03DF3" w:rsidP="00D03DF3">
      <w:pPr>
        <w:jc w:val="both"/>
        <w:rPr>
          <w:rFonts w:ascii="Arial" w:hAnsi="Arial" w:cs="Arial"/>
          <w:sz w:val="24"/>
          <w:lang w:val="en-IE"/>
        </w:rPr>
      </w:pPr>
      <w:r w:rsidRPr="001E0D05">
        <w:rPr>
          <w:rFonts w:ascii="Arial" w:hAnsi="Arial" w:cs="Arial"/>
          <w:sz w:val="24"/>
          <w:lang w:val="en-IE"/>
        </w:rPr>
        <w:t>This section puts forward an overview of the EURES preparatory operational activities planned for 2020</w:t>
      </w:r>
      <w:r>
        <w:rPr>
          <w:rFonts w:ascii="Arial" w:hAnsi="Arial" w:cs="Arial"/>
          <w:sz w:val="24"/>
          <w:lang w:val="en-IE"/>
        </w:rPr>
        <w:t xml:space="preserve"> in view of their execut</w:t>
      </w:r>
      <w:r w:rsidRPr="001E0D05">
        <w:rPr>
          <w:rFonts w:ascii="Arial" w:hAnsi="Arial" w:cs="Arial"/>
          <w:sz w:val="24"/>
          <w:lang w:val="en-IE"/>
        </w:rPr>
        <w:t>ion in 2021, which will fall under the competence of the ELA.</w:t>
      </w:r>
    </w:p>
    <w:p w14:paraId="3EB887F8" w14:textId="77777777" w:rsidR="00D03DF3" w:rsidRDefault="00D03DF3" w:rsidP="00D03DF3">
      <w:pPr>
        <w:jc w:val="both"/>
        <w:rPr>
          <w:rFonts w:ascii="Arial" w:hAnsi="Arial" w:cs="Arial"/>
          <w:sz w:val="24"/>
          <w:lang w:val="en-IE"/>
        </w:rPr>
      </w:pPr>
    </w:p>
    <w:p w14:paraId="0191B19E" w14:textId="6ABF40E7" w:rsidR="00D03DF3" w:rsidRDefault="00D03DF3" w:rsidP="00D03DF3">
      <w:pPr>
        <w:jc w:val="both"/>
        <w:rPr>
          <w:rFonts w:ascii="Arial" w:hAnsi="Arial" w:cs="Arial"/>
          <w:sz w:val="24"/>
          <w:u w:val="single"/>
          <w:lang w:val="en-IE"/>
        </w:rPr>
      </w:pPr>
      <w:r>
        <w:rPr>
          <w:rFonts w:ascii="Arial" w:hAnsi="Arial" w:cs="Arial"/>
          <w:sz w:val="24"/>
          <w:u w:val="single"/>
          <w:lang w:val="en-IE"/>
        </w:rPr>
        <w:t>Main actions and outputs</w:t>
      </w:r>
    </w:p>
    <w:p w14:paraId="4629C7B7" w14:textId="77777777" w:rsidR="00D03DF3" w:rsidRPr="006624D6" w:rsidRDefault="00D03DF3" w:rsidP="00D03DF3">
      <w:pPr>
        <w:jc w:val="both"/>
        <w:rPr>
          <w:rFonts w:ascii="Arial" w:hAnsi="Arial" w:cs="Arial"/>
          <w:sz w:val="24"/>
          <w:u w:val="single"/>
          <w:lang w:val="en-IE"/>
        </w:rPr>
      </w:pPr>
    </w:p>
    <w:p w14:paraId="32422CF0" w14:textId="77777777" w:rsidR="000C0533" w:rsidRPr="000C0533" w:rsidRDefault="000C0533" w:rsidP="000C0533">
      <w:pPr>
        <w:pStyle w:val="ListParagraph"/>
        <w:widowControl/>
        <w:numPr>
          <w:ilvl w:val="0"/>
          <w:numId w:val="16"/>
        </w:numPr>
        <w:autoSpaceDE/>
        <w:autoSpaceDN/>
        <w:spacing w:after="200" w:line="276" w:lineRule="auto"/>
        <w:contextualSpacing/>
        <w:rPr>
          <w:rFonts w:ascii="Arial" w:hAnsi="Arial" w:cs="Arial"/>
          <w:b/>
          <w:vanish/>
          <w:sz w:val="24"/>
          <w:lang w:val="en-IE"/>
        </w:rPr>
      </w:pPr>
    </w:p>
    <w:p w14:paraId="5F6E5525" w14:textId="77777777" w:rsidR="000C0533" w:rsidRPr="000C0533" w:rsidRDefault="000C0533" w:rsidP="000C0533">
      <w:pPr>
        <w:pStyle w:val="ListParagraph"/>
        <w:widowControl/>
        <w:numPr>
          <w:ilvl w:val="1"/>
          <w:numId w:val="16"/>
        </w:numPr>
        <w:autoSpaceDE/>
        <w:autoSpaceDN/>
        <w:spacing w:after="200" w:line="276" w:lineRule="auto"/>
        <w:contextualSpacing/>
        <w:rPr>
          <w:rFonts w:ascii="Arial" w:hAnsi="Arial" w:cs="Arial"/>
          <w:b/>
          <w:vanish/>
          <w:sz w:val="24"/>
          <w:lang w:val="en-IE"/>
        </w:rPr>
      </w:pPr>
    </w:p>
    <w:p w14:paraId="7AB2B7FA" w14:textId="77777777" w:rsidR="000C0533" w:rsidRPr="000C0533" w:rsidRDefault="000C0533" w:rsidP="000C0533">
      <w:pPr>
        <w:pStyle w:val="ListParagraph"/>
        <w:widowControl/>
        <w:numPr>
          <w:ilvl w:val="2"/>
          <w:numId w:val="16"/>
        </w:numPr>
        <w:autoSpaceDE/>
        <w:autoSpaceDN/>
        <w:spacing w:after="200" w:line="276" w:lineRule="auto"/>
        <w:contextualSpacing/>
        <w:rPr>
          <w:rFonts w:ascii="Arial" w:hAnsi="Arial" w:cs="Arial"/>
          <w:b/>
          <w:vanish/>
          <w:sz w:val="24"/>
          <w:lang w:val="en-IE"/>
        </w:rPr>
      </w:pPr>
    </w:p>
    <w:p w14:paraId="7A9670A1" w14:textId="0580FB83" w:rsidR="00D36FF2" w:rsidRPr="00D36FF2"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European Coordination Office</w:t>
      </w:r>
    </w:p>
    <w:p w14:paraId="38DE4EBA" w14:textId="49EB2190" w:rsidR="00D03DF3" w:rsidRDefault="00D03DF3" w:rsidP="00D03DF3">
      <w:pPr>
        <w:jc w:val="both"/>
        <w:rPr>
          <w:rFonts w:ascii="Arial" w:hAnsi="Arial" w:cs="Arial"/>
          <w:sz w:val="24"/>
          <w:lang w:val="en-IE"/>
        </w:rPr>
      </w:pPr>
      <w:r w:rsidRPr="001E0D05">
        <w:rPr>
          <w:rFonts w:ascii="Arial" w:hAnsi="Arial" w:cs="Arial"/>
          <w:sz w:val="24"/>
          <w:lang w:val="en-IE"/>
        </w:rPr>
        <w:t>In line with Articles 8 and 14 of the EURES Regulation, the European Coordination Office (ECO) organises the work of the European Coordination Group (ECG) and provides horizontal support to National Coordination Offices (NCOs). The ECG meets around three times a year. The purpose of these meetings is to discuss recent developments across the network, to share best practices between members and to discuss the state of play on the implementation process of the EURES Regulation.</w:t>
      </w:r>
      <w:r w:rsidRPr="001E0D05">
        <w:rPr>
          <w:rFonts w:ascii="Arial" w:hAnsi="Arial" w:cs="Arial"/>
          <w:lang w:val="en-IE"/>
        </w:rPr>
        <w:t xml:space="preserve"> </w:t>
      </w:r>
      <w:r w:rsidRPr="001E0D05">
        <w:rPr>
          <w:rFonts w:ascii="Arial" w:hAnsi="Arial" w:cs="Arial"/>
          <w:sz w:val="24"/>
          <w:lang w:val="en-IE"/>
        </w:rPr>
        <w:t>Social partners are also invited to each meeting of the ECG. Next to the formal agenda, NCOs have the opportunity to initiate informal, mutual learning sessions on specific topics.</w:t>
      </w:r>
    </w:p>
    <w:p w14:paraId="5C736C80" w14:textId="77777777" w:rsidR="00D03DF3" w:rsidRPr="001E0D05" w:rsidRDefault="00D03DF3" w:rsidP="00D03DF3">
      <w:pPr>
        <w:jc w:val="both"/>
        <w:rPr>
          <w:rFonts w:ascii="Arial" w:hAnsi="Arial" w:cs="Arial"/>
          <w:sz w:val="24"/>
          <w:lang w:val="en-IE"/>
        </w:rPr>
      </w:pPr>
    </w:p>
    <w:p w14:paraId="437F17F4" w14:textId="77777777" w:rsidR="00D03DF3" w:rsidRDefault="00D03DF3" w:rsidP="00D03DF3">
      <w:pPr>
        <w:jc w:val="both"/>
        <w:rPr>
          <w:rFonts w:ascii="Arial" w:hAnsi="Arial" w:cs="Arial"/>
          <w:sz w:val="24"/>
          <w:szCs w:val="24"/>
          <w:lang w:val="en-IE"/>
        </w:rPr>
      </w:pPr>
      <w:r w:rsidRPr="001E0D05">
        <w:rPr>
          <w:rFonts w:ascii="Arial" w:hAnsi="Arial" w:cs="Arial"/>
          <w:sz w:val="24"/>
          <w:szCs w:val="24"/>
          <w:lang w:val="en-IE"/>
        </w:rPr>
        <w:t>The ELA will assist the Commission in the preparation of the two ECG meetings scheduled in 2020 and start orga</w:t>
      </w:r>
      <w:r>
        <w:rPr>
          <w:rFonts w:ascii="Arial" w:hAnsi="Arial" w:cs="Arial"/>
          <w:sz w:val="24"/>
          <w:szCs w:val="24"/>
          <w:lang w:val="en-IE"/>
        </w:rPr>
        <w:t>nising the first meeting in 202</w:t>
      </w:r>
      <w:r w:rsidRPr="001E0D05">
        <w:rPr>
          <w:rFonts w:ascii="Arial" w:hAnsi="Arial" w:cs="Arial"/>
          <w:sz w:val="24"/>
          <w:szCs w:val="24"/>
          <w:lang w:val="en-IE"/>
        </w:rPr>
        <w:t>1. The ELA will also assist the Commission in relation to the external service provider assisting with the logistical arrangements of the meetings.</w:t>
      </w:r>
    </w:p>
    <w:p w14:paraId="7DC6B212" w14:textId="77777777" w:rsidR="00D03DF3" w:rsidRDefault="00D03DF3" w:rsidP="00D03DF3">
      <w:pPr>
        <w:jc w:val="both"/>
        <w:rPr>
          <w:rFonts w:ascii="Arial" w:hAnsi="Arial" w:cs="Arial"/>
          <w:sz w:val="24"/>
          <w:szCs w:val="24"/>
          <w:lang w:val="en-IE"/>
        </w:rPr>
      </w:pPr>
    </w:p>
    <w:p w14:paraId="033947D8" w14:textId="254DCD4B"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Annual programming cycle</w:t>
      </w:r>
    </w:p>
    <w:p w14:paraId="4785EA5B" w14:textId="2973E7FF" w:rsidR="00D03DF3" w:rsidRDefault="00D03DF3" w:rsidP="00D03DF3">
      <w:pPr>
        <w:jc w:val="both"/>
        <w:rPr>
          <w:rFonts w:ascii="Arial" w:hAnsi="Arial" w:cs="Arial"/>
          <w:sz w:val="24"/>
          <w:lang w:val="en-IE"/>
        </w:rPr>
      </w:pPr>
      <w:r w:rsidRPr="001E0D05">
        <w:rPr>
          <w:rFonts w:ascii="Arial" w:hAnsi="Arial" w:cs="Arial"/>
          <w:sz w:val="24"/>
          <w:lang w:val="en-IE"/>
        </w:rPr>
        <w:t>As set out in Article 31 of the EURES Regulation</w:t>
      </w:r>
      <w:r>
        <w:rPr>
          <w:rFonts w:ascii="Arial" w:hAnsi="Arial" w:cs="Arial"/>
          <w:sz w:val="24"/>
          <w:lang w:val="en-IE"/>
        </w:rPr>
        <w:t xml:space="preserve"> and Article 4 of the </w:t>
      </w:r>
      <w:r w:rsidRPr="008845D0">
        <w:rPr>
          <w:rFonts w:ascii="Arial" w:hAnsi="Arial" w:cs="Arial"/>
          <w:sz w:val="24"/>
          <w:lang w:val="en-IE"/>
        </w:rPr>
        <w:t>Implem</w:t>
      </w:r>
      <w:r>
        <w:rPr>
          <w:rFonts w:ascii="Arial" w:hAnsi="Arial" w:cs="Arial"/>
          <w:sz w:val="24"/>
          <w:lang w:val="en-IE"/>
        </w:rPr>
        <w:t>en</w:t>
      </w:r>
      <w:r w:rsidRPr="008845D0">
        <w:rPr>
          <w:rFonts w:ascii="Arial" w:hAnsi="Arial" w:cs="Arial"/>
          <w:sz w:val="24"/>
          <w:lang w:val="en-IE"/>
        </w:rPr>
        <w:t>ting Decision (EU) 2017/1256</w:t>
      </w:r>
      <w:r w:rsidRPr="001E0D05">
        <w:rPr>
          <w:rFonts w:ascii="Arial" w:hAnsi="Arial" w:cs="Arial"/>
          <w:sz w:val="24"/>
          <w:lang w:val="en-IE"/>
        </w:rPr>
        <w:t xml:space="preserve">, the ECO organises an annual programming cycle </w:t>
      </w:r>
      <w:r>
        <w:rPr>
          <w:rFonts w:ascii="Arial" w:hAnsi="Arial" w:cs="Arial"/>
          <w:sz w:val="24"/>
          <w:lang w:val="en-IE"/>
        </w:rPr>
        <w:t xml:space="preserve">workshop </w:t>
      </w:r>
      <w:r w:rsidRPr="001E0D05">
        <w:rPr>
          <w:rFonts w:ascii="Arial" w:hAnsi="Arial" w:cs="Arial"/>
          <w:sz w:val="24"/>
          <w:lang w:val="en-IE"/>
        </w:rPr>
        <w:t>to support the</w:t>
      </w:r>
      <w:r w:rsidRPr="008845D0">
        <w:t xml:space="preserve"> </w:t>
      </w:r>
      <w:r w:rsidRPr="008845D0">
        <w:rPr>
          <w:rFonts w:ascii="Arial" w:hAnsi="Arial" w:cs="Arial"/>
          <w:sz w:val="24"/>
          <w:lang w:val="en-IE"/>
        </w:rPr>
        <w:t>the exchange of information among Member States on the national work programmes and the joint review exercise</w:t>
      </w:r>
      <w:r>
        <w:rPr>
          <w:rFonts w:ascii="Arial" w:hAnsi="Arial" w:cs="Arial"/>
          <w:sz w:val="24"/>
          <w:lang w:val="en-IE"/>
        </w:rPr>
        <w:t xml:space="preserve">.  The </w:t>
      </w:r>
      <w:r w:rsidRPr="001E0D05">
        <w:rPr>
          <w:rFonts w:ascii="Arial" w:hAnsi="Arial" w:cs="Arial"/>
          <w:sz w:val="24"/>
          <w:lang w:val="en-IE"/>
        </w:rPr>
        <w:t>representatives of the social partners may participate</w:t>
      </w:r>
      <w:r>
        <w:rPr>
          <w:rFonts w:ascii="Arial" w:hAnsi="Arial" w:cs="Arial"/>
          <w:sz w:val="24"/>
          <w:lang w:val="en-IE"/>
        </w:rPr>
        <w:t xml:space="preserve"> in the exercise</w:t>
      </w:r>
      <w:r w:rsidRPr="001E0D05">
        <w:rPr>
          <w:rFonts w:ascii="Arial" w:hAnsi="Arial" w:cs="Arial"/>
          <w:sz w:val="24"/>
          <w:lang w:val="en-IE"/>
        </w:rPr>
        <w:t xml:space="preserve">. </w:t>
      </w:r>
    </w:p>
    <w:p w14:paraId="5E97EA9E" w14:textId="77777777" w:rsidR="00D03DF3" w:rsidRPr="001E0D05" w:rsidRDefault="00D03DF3" w:rsidP="00D03DF3">
      <w:pPr>
        <w:jc w:val="both"/>
        <w:rPr>
          <w:rFonts w:ascii="Arial" w:hAnsi="Arial" w:cs="Arial"/>
          <w:sz w:val="24"/>
          <w:lang w:val="en-IE"/>
        </w:rPr>
      </w:pPr>
    </w:p>
    <w:p w14:paraId="777C8A70" w14:textId="2A81270B" w:rsidR="00D03DF3" w:rsidRDefault="00D03DF3" w:rsidP="00D03DF3">
      <w:pPr>
        <w:jc w:val="both"/>
        <w:rPr>
          <w:rFonts w:ascii="Arial" w:hAnsi="Arial" w:cs="Arial"/>
          <w:sz w:val="24"/>
          <w:lang w:val="en-IE"/>
        </w:rPr>
      </w:pPr>
      <w:r w:rsidRPr="001E0D05">
        <w:rPr>
          <w:rFonts w:ascii="Arial" w:hAnsi="Arial" w:cs="Arial"/>
          <w:sz w:val="24"/>
          <w:lang w:val="en-IE"/>
        </w:rPr>
        <w:t>The ELA will cooperate with the Commission in the organisation and management of the workshop initiating the annual programming cycle 2021, which is scheduled for Q4 2020. The ELA will be involved in the following phases of the cycle, which includes the joint review of annual work programmes set in Q4 2020 and the drafting of the public summary of the work programmes by the end of the programming cycle 2020, in Q1 2021. In this context, the ELA will inherit the management of the contract providing services to the programming cycle.</w:t>
      </w:r>
    </w:p>
    <w:p w14:paraId="37C3A4B1" w14:textId="77777777" w:rsidR="00D03DF3" w:rsidRPr="001E0D05" w:rsidRDefault="00D03DF3" w:rsidP="00D03DF3">
      <w:pPr>
        <w:jc w:val="both"/>
        <w:rPr>
          <w:rFonts w:ascii="Arial" w:hAnsi="Arial" w:cs="Arial"/>
          <w:sz w:val="24"/>
          <w:lang w:val="en-IE"/>
        </w:rPr>
      </w:pPr>
    </w:p>
    <w:p w14:paraId="7FD7D24F" w14:textId="56354E28"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Performance Measurement System</w:t>
      </w:r>
    </w:p>
    <w:p w14:paraId="15AC28FF" w14:textId="2832C434" w:rsidR="00D03DF3" w:rsidRDefault="00D03DF3" w:rsidP="00D03DF3">
      <w:pPr>
        <w:jc w:val="both"/>
        <w:rPr>
          <w:rFonts w:ascii="Arial" w:hAnsi="Arial" w:cs="Arial"/>
          <w:sz w:val="24"/>
          <w:szCs w:val="24"/>
          <w:lang w:val="en-IE"/>
        </w:rPr>
      </w:pPr>
      <w:r w:rsidRPr="001E0D05">
        <w:rPr>
          <w:rFonts w:ascii="Arial" w:hAnsi="Arial" w:cs="Arial"/>
          <w:sz w:val="24"/>
          <w:szCs w:val="24"/>
          <w:lang w:val="en-IE"/>
        </w:rPr>
        <w:t xml:space="preserve">In order to monitor the performance of EURES activities, Member States collect comparable qualitative and quantitative data at national level on an annual basis in line with Article 32 of the EURES Regulation and </w:t>
      </w:r>
      <w:hyperlink r:id="rId19" w:history="1">
        <w:r w:rsidRPr="001E0D05">
          <w:rPr>
            <w:rStyle w:val="Hyperlink"/>
            <w:rFonts w:ascii="Arial" w:hAnsi="Arial" w:cs="Arial"/>
            <w:sz w:val="24"/>
            <w:lang w:val="en-IE"/>
          </w:rPr>
          <w:t>Decision (EU) 2018/170</w:t>
        </w:r>
      </w:hyperlink>
      <w:r w:rsidRPr="001E0D05">
        <w:rPr>
          <w:rFonts w:ascii="Arial" w:hAnsi="Arial" w:cs="Arial"/>
          <w:sz w:val="24"/>
          <w:szCs w:val="24"/>
          <w:lang w:val="en-IE"/>
        </w:rPr>
        <w:t xml:space="preserve">. Member States collect data on their information and guidance activities, employment performance (including placement and recruitment) and customer satisfaction with the EURES network, which feeds into a semester report and an annual report. </w:t>
      </w:r>
    </w:p>
    <w:p w14:paraId="3E9DCC97" w14:textId="77777777" w:rsidR="00D03DF3" w:rsidRPr="001E0D05" w:rsidRDefault="00D03DF3" w:rsidP="00D03DF3">
      <w:pPr>
        <w:jc w:val="both"/>
        <w:rPr>
          <w:rFonts w:ascii="Arial" w:hAnsi="Arial" w:cs="Arial"/>
          <w:i/>
          <w:sz w:val="24"/>
          <w:lang w:val="en-IE"/>
        </w:rPr>
      </w:pPr>
    </w:p>
    <w:p w14:paraId="08AD81B4" w14:textId="09C68086" w:rsidR="00D03DF3" w:rsidRDefault="00D03DF3" w:rsidP="00D03DF3">
      <w:pPr>
        <w:jc w:val="both"/>
        <w:rPr>
          <w:rFonts w:ascii="Arial" w:hAnsi="Arial" w:cs="Arial"/>
          <w:sz w:val="24"/>
          <w:lang w:val="en-IE"/>
        </w:rPr>
      </w:pPr>
      <w:r w:rsidRPr="001E0D05">
        <w:rPr>
          <w:rFonts w:ascii="Arial" w:hAnsi="Arial" w:cs="Arial"/>
          <w:sz w:val="24"/>
          <w:lang w:val="en-IE"/>
        </w:rPr>
        <w:t xml:space="preserve">The ELA will assist the Commission in the production of the semester report (to be finalised in October 2020) and the annual consolidation report related to the year 2020, to be presented in Spring 2021, which includes both national analyses and EU-wide assessment. </w:t>
      </w:r>
    </w:p>
    <w:p w14:paraId="1F3D38B9" w14:textId="77777777" w:rsidR="00D03DF3" w:rsidRPr="001E0D05" w:rsidRDefault="00D03DF3" w:rsidP="00D03DF3">
      <w:pPr>
        <w:jc w:val="both"/>
        <w:rPr>
          <w:rFonts w:ascii="Arial" w:hAnsi="Arial" w:cs="Arial"/>
          <w:sz w:val="24"/>
          <w:lang w:val="en-IE"/>
        </w:rPr>
      </w:pPr>
    </w:p>
    <w:p w14:paraId="03557950" w14:textId="79AC826B"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Training</w:t>
      </w:r>
    </w:p>
    <w:p w14:paraId="011B97E8" w14:textId="04317D26" w:rsidR="00D03DF3" w:rsidRDefault="00D03DF3" w:rsidP="00D03DF3">
      <w:pPr>
        <w:jc w:val="both"/>
        <w:rPr>
          <w:rFonts w:ascii="Arial" w:hAnsi="Arial" w:cs="Arial"/>
          <w:sz w:val="24"/>
          <w:lang w:val="en-IE"/>
        </w:rPr>
      </w:pPr>
      <w:r w:rsidRPr="001E0D05">
        <w:rPr>
          <w:rFonts w:ascii="Arial" w:hAnsi="Arial" w:cs="Arial"/>
          <w:sz w:val="24"/>
          <w:lang w:val="en-IE"/>
        </w:rPr>
        <w:t xml:space="preserve">In line with Article 8 of the EURES Regulation, the ECO provides a common training programme and professional development for the staff of EURES Members and Partners under the umbrella of the EURES Academy launched in 2016. The training activities aim at providing EURES staff with the necessary tools, competences and skills for developing placement and recruitment activities. Trainings take place both in ‘classroom’ format in various locations across Europe, as well as online. </w:t>
      </w:r>
    </w:p>
    <w:p w14:paraId="799AC789" w14:textId="77777777" w:rsidR="00D03DF3" w:rsidRPr="001E0D05" w:rsidRDefault="00D03DF3" w:rsidP="00D03DF3">
      <w:pPr>
        <w:jc w:val="both"/>
        <w:rPr>
          <w:rFonts w:ascii="Arial" w:hAnsi="Arial" w:cs="Arial"/>
          <w:sz w:val="24"/>
          <w:lang w:val="en-IE"/>
        </w:rPr>
      </w:pPr>
    </w:p>
    <w:p w14:paraId="1A9F4858" w14:textId="392EEE9B" w:rsidR="00D03DF3" w:rsidRDefault="00D03DF3" w:rsidP="00D03DF3">
      <w:pPr>
        <w:jc w:val="both"/>
        <w:rPr>
          <w:rFonts w:ascii="Arial" w:hAnsi="Arial" w:cs="Arial"/>
          <w:sz w:val="24"/>
          <w:lang w:val="en-IE"/>
        </w:rPr>
      </w:pPr>
      <w:r w:rsidRPr="001E0D05">
        <w:rPr>
          <w:rFonts w:ascii="Arial" w:hAnsi="Arial" w:cs="Arial"/>
          <w:sz w:val="24"/>
          <w:lang w:val="en-IE"/>
        </w:rPr>
        <w:t>The ELA will participate in the coordination of the about 65 trainings scheduled in 2020 (varying in length between half a day to two months), both in-person in different European locations and online.</w:t>
      </w:r>
      <w:r w:rsidRPr="001E0D05" w:rsidDel="00076314">
        <w:rPr>
          <w:rFonts w:ascii="Arial" w:hAnsi="Arial" w:cs="Arial"/>
          <w:sz w:val="24"/>
          <w:lang w:val="en-IE"/>
        </w:rPr>
        <w:t xml:space="preserve"> </w:t>
      </w:r>
    </w:p>
    <w:p w14:paraId="58847DC9" w14:textId="77777777" w:rsidR="00D03DF3" w:rsidRPr="001E0D05" w:rsidRDefault="00D03DF3" w:rsidP="00D03DF3">
      <w:pPr>
        <w:jc w:val="both"/>
        <w:rPr>
          <w:rFonts w:ascii="Arial" w:hAnsi="Arial" w:cs="Arial"/>
          <w:sz w:val="24"/>
          <w:lang w:val="en-IE"/>
        </w:rPr>
      </w:pPr>
    </w:p>
    <w:p w14:paraId="6BA72020" w14:textId="77777777"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Communication activities</w:t>
      </w:r>
    </w:p>
    <w:p w14:paraId="05884DE6" w14:textId="5A931D5C" w:rsidR="00D03DF3" w:rsidRDefault="00D03DF3" w:rsidP="00D03DF3">
      <w:pPr>
        <w:jc w:val="both"/>
        <w:rPr>
          <w:rFonts w:ascii="Arial" w:hAnsi="Arial" w:cs="Arial"/>
          <w:sz w:val="24"/>
          <w:szCs w:val="24"/>
          <w:lang w:val="en-IE"/>
        </w:rPr>
      </w:pPr>
      <w:r w:rsidRPr="001E0D05">
        <w:rPr>
          <w:rFonts w:ascii="Arial" w:hAnsi="Arial" w:cs="Arial"/>
          <w:sz w:val="24"/>
          <w:szCs w:val="24"/>
          <w:lang w:val="en-IE"/>
        </w:rPr>
        <w:t xml:space="preserve">The EURES network coordinates a set of information and communication activities carried out by both the Commission and the individual Member States. The overall aim of the EURES information and communication activities is to raise awareness of the EU's </w:t>
      </w:r>
      <w:r>
        <w:rPr>
          <w:rFonts w:ascii="Arial" w:hAnsi="Arial" w:cs="Arial"/>
          <w:sz w:val="24"/>
          <w:szCs w:val="24"/>
          <w:lang w:val="en-IE"/>
        </w:rPr>
        <w:t>and Member States’</w:t>
      </w:r>
      <w:r w:rsidRPr="004E6601">
        <w:rPr>
          <w:rFonts w:ascii="Arial" w:hAnsi="Arial" w:cs="Arial"/>
          <w:sz w:val="24"/>
          <w:szCs w:val="24"/>
          <w:lang w:val="en-IE"/>
        </w:rPr>
        <w:t xml:space="preserve"> </w:t>
      </w:r>
      <w:r w:rsidRPr="001E0D05">
        <w:rPr>
          <w:rFonts w:ascii="Arial" w:hAnsi="Arial" w:cs="Arial"/>
          <w:sz w:val="24"/>
          <w:szCs w:val="24"/>
          <w:lang w:val="en-IE"/>
        </w:rPr>
        <w:t xml:space="preserve">role in promoting growth and jobs in the EU and to improve matching of skills needs on the European labour market, for the benefit of employers and jobseekers alike. </w:t>
      </w:r>
    </w:p>
    <w:p w14:paraId="58DA3BFF" w14:textId="77777777" w:rsidR="00D03DF3" w:rsidRPr="001E0D05" w:rsidRDefault="00D03DF3" w:rsidP="00D03DF3">
      <w:pPr>
        <w:jc w:val="both"/>
        <w:rPr>
          <w:rFonts w:ascii="Arial" w:hAnsi="Arial" w:cs="Arial"/>
          <w:sz w:val="24"/>
          <w:szCs w:val="24"/>
          <w:lang w:val="en-IE"/>
        </w:rPr>
      </w:pPr>
    </w:p>
    <w:p w14:paraId="59211964" w14:textId="0FD93B62" w:rsidR="00D03DF3" w:rsidRDefault="00D03DF3" w:rsidP="00D03DF3">
      <w:pPr>
        <w:jc w:val="both"/>
        <w:rPr>
          <w:rFonts w:ascii="Arial" w:hAnsi="Arial" w:cs="Arial"/>
          <w:sz w:val="24"/>
          <w:szCs w:val="24"/>
          <w:lang w:val="en-IE"/>
        </w:rPr>
      </w:pPr>
      <w:r w:rsidRPr="001E0D05">
        <w:rPr>
          <w:rFonts w:ascii="Arial" w:hAnsi="Arial" w:cs="Arial"/>
          <w:sz w:val="24"/>
          <w:szCs w:val="24"/>
          <w:lang w:val="en-IE"/>
        </w:rPr>
        <w:t xml:space="preserve">The ELA will assist the Commission in the strategic planning of the different deliverables, including monthly articles for the EURES portal, non-verbal communication outputs, newsletters, and social media and community management. </w:t>
      </w:r>
    </w:p>
    <w:p w14:paraId="1BC7D680" w14:textId="77777777" w:rsidR="00D03DF3" w:rsidRPr="001E0D05" w:rsidRDefault="00D03DF3" w:rsidP="00D03DF3">
      <w:pPr>
        <w:jc w:val="both"/>
        <w:rPr>
          <w:rFonts w:ascii="Arial" w:hAnsi="Arial" w:cs="Arial"/>
          <w:sz w:val="24"/>
          <w:szCs w:val="24"/>
          <w:lang w:val="en-IE"/>
        </w:rPr>
      </w:pPr>
    </w:p>
    <w:p w14:paraId="65D7EAF1" w14:textId="1C629A7F" w:rsidR="00D03DF3" w:rsidRDefault="00D03DF3" w:rsidP="00D03DF3">
      <w:pPr>
        <w:jc w:val="both"/>
        <w:rPr>
          <w:rFonts w:ascii="Arial" w:hAnsi="Arial" w:cs="Arial"/>
          <w:sz w:val="24"/>
          <w:szCs w:val="24"/>
          <w:lang w:val="en-IE"/>
        </w:rPr>
      </w:pPr>
      <w:r w:rsidRPr="001E0D05">
        <w:rPr>
          <w:rFonts w:ascii="Arial" w:hAnsi="Arial" w:cs="Arial"/>
          <w:sz w:val="24"/>
          <w:szCs w:val="24"/>
          <w:lang w:val="en-IE"/>
        </w:rPr>
        <w:t>In view of the expiration of the DG EMPL communication framework contract in 2020, the ELA will tender a new communication framework contract by taking into account the specific needs of the EURES communication activities that are currently covered by DG EMPL’s expiring contract.</w:t>
      </w:r>
    </w:p>
    <w:p w14:paraId="0DCDBF99" w14:textId="77777777" w:rsidR="00D03DF3" w:rsidRPr="001E0D05" w:rsidRDefault="00D03DF3" w:rsidP="00D03DF3">
      <w:pPr>
        <w:jc w:val="both"/>
        <w:rPr>
          <w:rFonts w:ascii="Arial" w:hAnsi="Arial" w:cs="Arial"/>
          <w:sz w:val="24"/>
          <w:szCs w:val="24"/>
          <w:lang w:val="en-IE"/>
        </w:rPr>
      </w:pPr>
    </w:p>
    <w:p w14:paraId="275D02AF" w14:textId="77777777"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European (Online) Job Days</w:t>
      </w:r>
    </w:p>
    <w:p w14:paraId="363CB2F7" w14:textId="129BDECF" w:rsidR="00D03DF3" w:rsidRDefault="00D03DF3" w:rsidP="00D03DF3">
      <w:pPr>
        <w:jc w:val="both"/>
        <w:rPr>
          <w:rFonts w:ascii="Arial" w:hAnsi="Arial" w:cs="Arial"/>
          <w:sz w:val="24"/>
          <w:lang w:val="en-IE"/>
        </w:rPr>
      </w:pPr>
      <w:r w:rsidRPr="001E0D05">
        <w:rPr>
          <w:rFonts w:ascii="Arial" w:hAnsi="Arial" w:cs="Arial"/>
          <w:sz w:val="24"/>
          <w:lang w:val="en-IE"/>
        </w:rPr>
        <w:t xml:space="preserve">Upon application by the Member States, EURES may support local </w:t>
      </w:r>
      <w:r w:rsidRPr="004E6601">
        <w:rPr>
          <w:rFonts w:ascii="Arial" w:hAnsi="Arial" w:cs="Arial"/>
          <w:sz w:val="24"/>
          <w:lang w:val="en-IE"/>
        </w:rPr>
        <w:t xml:space="preserve">/ cross-border  </w:t>
      </w:r>
      <w:r w:rsidRPr="001E0D05">
        <w:rPr>
          <w:rFonts w:ascii="Arial" w:hAnsi="Arial" w:cs="Arial"/>
          <w:sz w:val="24"/>
          <w:lang w:val="en-IE"/>
        </w:rPr>
        <w:t xml:space="preserve">recruitment events bringing jobseekers and employers together, from across the Union, in which EURES Advisers participate </w:t>
      </w:r>
      <w:r w:rsidRPr="004E6601">
        <w:rPr>
          <w:rFonts w:ascii="Arial" w:hAnsi="Arial" w:cs="Arial"/>
          <w:sz w:val="24"/>
          <w:lang w:val="en-IE"/>
        </w:rPr>
        <w:t xml:space="preserve">either to promote job vacancies on behalf of employers or to provide </w:t>
      </w:r>
      <w:r w:rsidRPr="001E0D05">
        <w:rPr>
          <w:rFonts w:ascii="Arial" w:hAnsi="Arial" w:cs="Arial"/>
          <w:sz w:val="24"/>
          <w:lang w:val="en-IE"/>
        </w:rPr>
        <w:t>information</w:t>
      </w:r>
      <w:r w:rsidRPr="004E6601">
        <w:t xml:space="preserve"> </w:t>
      </w:r>
      <w:r w:rsidRPr="004E6601">
        <w:rPr>
          <w:rFonts w:ascii="Arial" w:hAnsi="Arial" w:cs="Arial"/>
          <w:sz w:val="24"/>
          <w:lang w:val="en-IE"/>
        </w:rPr>
        <w:t>on various aspects of mobility</w:t>
      </w:r>
      <w:r w:rsidRPr="001E0D05">
        <w:rPr>
          <w:rFonts w:ascii="Arial" w:hAnsi="Arial" w:cs="Arial"/>
          <w:sz w:val="24"/>
          <w:lang w:val="en-IE"/>
        </w:rPr>
        <w:t xml:space="preserve"> to jobseekers. These events may be organised online and on site. Around 35 events are planned between 2020 and March 2021.</w:t>
      </w:r>
    </w:p>
    <w:p w14:paraId="00BF55B0" w14:textId="77777777" w:rsidR="00D03DF3" w:rsidRPr="001E0D05" w:rsidRDefault="00D03DF3" w:rsidP="00D03DF3">
      <w:pPr>
        <w:jc w:val="both"/>
        <w:rPr>
          <w:rFonts w:ascii="Arial" w:hAnsi="Arial" w:cs="Arial"/>
          <w:sz w:val="24"/>
          <w:lang w:val="en-IE"/>
        </w:rPr>
      </w:pPr>
    </w:p>
    <w:p w14:paraId="51AA7AD5" w14:textId="77777777" w:rsidR="00D03DF3" w:rsidRDefault="00D03DF3" w:rsidP="00D03DF3">
      <w:pPr>
        <w:jc w:val="both"/>
        <w:rPr>
          <w:rFonts w:ascii="Arial" w:hAnsi="Arial" w:cs="Arial"/>
          <w:sz w:val="24"/>
          <w:lang w:val="en-IE"/>
        </w:rPr>
      </w:pPr>
      <w:r w:rsidRPr="001E0D05">
        <w:rPr>
          <w:rFonts w:ascii="Arial" w:hAnsi="Arial" w:cs="Arial"/>
          <w:sz w:val="24"/>
          <w:lang w:val="en-IE"/>
        </w:rPr>
        <w:t>The ELA will ensure the continuity of EURES support to these events by taking over the management of the contract</w:t>
      </w:r>
      <w:r>
        <w:rPr>
          <w:rFonts w:ascii="Arial" w:hAnsi="Arial" w:cs="Arial"/>
          <w:sz w:val="24"/>
          <w:lang w:val="en-IE"/>
        </w:rPr>
        <w:t xml:space="preserve"> and tender a new contract upon the expiration of the current one</w:t>
      </w:r>
      <w:r w:rsidRPr="001E0D05">
        <w:rPr>
          <w:rFonts w:ascii="Arial" w:hAnsi="Arial" w:cs="Arial"/>
          <w:sz w:val="24"/>
          <w:lang w:val="en-IE"/>
        </w:rPr>
        <w:t>.</w:t>
      </w:r>
    </w:p>
    <w:p w14:paraId="143713B3" w14:textId="77777777" w:rsidR="00D03DF3" w:rsidRPr="001E0D05" w:rsidRDefault="00D03DF3" w:rsidP="00D03DF3">
      <w:pPr>
        <w:jc w:val="both"/>
        <w:rPr>
          <w:rFonts w:ascii="Arial" w:hAnsi="Arial" w:cs="Arial"/>
          <w:sz w:val="24"/>
          <w:lang w:val="en-IE"/>
        </w:rPr>
      </w:pPr>
    </w:p>
    <w:p w14:paraId="1EACAA4C" w14:textId="604B1B93"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lastRenderedPageBreak/>
        <w:t>EURES Portal</w:t>
      </w:r>
    </w:p>
    <w:p w14:paraId="0D14AEFC" w14:textId="77777777" w:rsidR="00D03DF3" w:rsidRPr="00F65293" w:rsidRDefault="00D03DF3" w:rsidP="00D36FF2">
      <w:pPr>
        <w:spacing w:after="240"/>
        <w:jc w:val="both"/>
        <w:rPr>
          <w:rFonts w:ascii="Arial" w:hAnsi="Arial" w:cs="Arial"/>
          <w:sz w:val="24"/>
          <w:u w:val="single"/>
          <w:lang w:val="en-IE"/>
        </w:rPr>
      </w:pPr>
      <w:r w:rsidRPr="00F65293">
        <w:rPr>
          <w:rFonts w:ascii="Arial" w:hAnsi="Arial" w:cs="Arial"/>
          <w:sz w:val="24"/>
          <w:u w:val="single"/>
          <w:lang w:val="en-IE"/>
        </w:rPr>
        <w:t>Business consultancy</w:t>
      </w:r>
    </w:p>
    <w:p w14:paraId="6D89B629" w14:textId="171E6C65" w:rsidR="00D03DF3" w:rsidRDefault="00D03DF3" w:rsidP="00D03DF3">
      <w:pPr>
        <w:jc w:val="both"/>
        <w:rPr>
          <w:rFonts w:ascii="Arial" w:hAnsi="Arial" w:cs="Arial"/>
          <w:sz w:val="24"/>
          <w:lang w:val="en-IE"/>
        </w:rPr>
      </w:pPr>
      <w:r w:rsidRPr="00F65293">
        <w:rPr>
          <w:rFonts w:ascii="Arial" w:hAnsi="Arial" w:cs="Arial"/>
          <w:sz w:val="24"/>
          <w:lang w:val="en-IE"/>
        </w:rPr>
        <w:t xml:space="preserve">The daily management, maintenance and further development of the EURES Portal is carried out through external business consultancy working under the supervision of a </w:t>
      </w:r>
      <w:r>
        <w:rPr>
          <w:rFonts w:ascii="Arial" w:hAnsi="Arial" w:cs="Arial"/>
          <w:sz w:val="24"/>
          <w:lang w:val="en-IE"/>
        </w:rPr>
        <w:t xml:space="preserve">EU-staff </w:t>
      </w:r>
      <w:r w:rsidRPr="00F65293">
        <w:rPr>
          <w:rFonts w:ascii="Arial" w:hAnsi="Arial" w:cs="Arial"/>
          <w:sz w:val="24"/>
          <w:lang w:val="en-IE"/>
        </w:rPr>
        <w:t xml:space="preserve">business manager. </w:t>
      </w:r>
    </w:p>
    <w:p w14:paraId="05310CB4" w14:textId="77777777" w:rsidR="00D03DF3" w:rsidRPr="00F65293" w:rsidRDefault="00D03DF3" w:rsidP="00D03DF3">
      <w:pPr>
        <w:jc w:val="both"/>
        <w:rPr>
          <w:rFonts w:ascii="Arial" w:hAnsi="Arial" w:cs="Arial"/>
          <w:sz w:val="24"/>
          <w:lang w:val="en-IE"/>
        </w:rPr>
      </w:pPr>
    </w:p>
    <w:p w14:paraId="571E4113" w14:textId="3CB8695D" w:rsidR="00D03DF3" w:rsidRDefault="00D03DF3" w:rsidP="00D03DF3">
      <w:pPr>
        <w:jc w:val="both"/>
        <w:rPr>
          <w:rFonts w:ascii="Arial" w:hAnsi="Arial" w:cs="Arial"/>
          <w:sz w:val="24"/>
          <w:lang w:val="en-IE"/>
        </w:rPr>
      </w:pPr>
      <w:r w:rsidRPr="00F65293">
        <w:rPr>
          <w:rFonts w:ascii="Arial" w:hAnsi="Arial" w:cs="Arial"/>
          <w:sz w:val="24"/>
          <w:lang w:val="en-IE"/>
        </w:rPr>
        <w:t>The ELA will manage the contracting of consultancy resources with a view to ensuring continuity of quality EURES Portal services during 2021.</w:t>
      </w:r>
      <w:r>
        <w:rPr>
          <w:rFonts w:ascii="Arial" w:hAnsi="Arial" w:cs="Arial"/>
          <w:sz w:val="24"/>
          <w:lang w:val="en-IE"/>
        </w:rPr>
        <w:t xml:space="preserve">    </w:t>
      </w:r>
    </w:p>
    <w:p w14:paraId="09AEF7D8" w14:textId="77777777" w:rsidR="00D03DF3" w:rsidRDefault="00D03DF3" w:rsidP="00D03DF3">
      <w:pPr>
        <w:jc w:val="both"/>
        <w:rPr>
          <w:rFonts w:ascii="Arial" w:hAnsi="Arial" w:cs="Arial"/>
          <w:sz w:val="24"/>
          <w:lang w:val="en-IE"/>
        </w:rPr>
      </w:pPr>
    </w:p>
    <w:p w14:paraId="3EB34B3F" w14:textId="77777777" w:rsidR="00D03DF3" w:rsidRPr="001E0D05" w:rsidRDefault="00D03DF3" w:rsidP="00D36FF2">
      <w:pPr>
        <w:spacing w:after="240"/>
        <w:jc w:val="both"/>
        <w:rPr>
          <w:rFonts w:ascii="Arial" w:hAnsi="Arial" w:cs="Arial"/>
          <w:sz w:val="24"/>
          <w:u w:val="single"/>
          <w:lang w:val="en-IE"/>
        </w:rPr>
      </w:pPr>
      <w:r w:rsidRPr="001E0D05">
        <w:rPr>
          <w:rFonts w:ascii="Arial" w:hAnsi="Arial" w:cs="Arial"/>
          <w:sz w:val="24"/>
          <w:u w:val="single"/>
          <w:lang w:val="en-IE"/>
        </w:rPr>
        <w:t>Helpdesk</w:t>
      </w:r>
    </w:p>
    <w:p w14:paraId="7F5A8574" w14:textId="45F1430B" w:rsidR="00D03DF3" w:rsidRDefault="00D03DF3" w:rsidP="00D03DF3">
      <w:pPr>
        <w:jc w:val="both"/>
        <w:rPr>
          <w:rFonts w:ascii="Arial" w:hAnsi="Arial" w:cs="Arial"/>
          <w:sz w:val="24"/>
          <w:lang w:val="en-IE"/>
        </w:rPr>
      </w:pPr>
      <w:r w:rsidRPr="001E0D05">
        <w:rPr>
          <w:rFonts w:ascii="Arial" w:hAnsi="Arial" w:cs="Arial"/>
          <w:sz w:val="24"/>
          <w:lang w:val="en-IE"/>
        </w:rPr>
        <w:t xml:space="preserve">The Helpdesk assists advisers and citizens on questions regarding job mobility issues in general, as well as technical aspects regarding the EURES Job Mobility Portal. </w:t>
      </w:r>
    </w:p>
    <w:p w14:paraId="53A5CC7E" w14:textId="77777777" w:rsidR="00D03DF3" w:rsidRPr="001E0D05" w:rsidRDefault="00D03DF3" w:rsidP="00D03DF3">
      <w:pPr>
        <w:jc w:val="both"/>
        <w:rPr>
          <w:rFonts w:ascii="Arial" w:hAnsi="Arial" w:cs="Arial"/>
          <w:sz w:val="24"/>
          <w:lang w:val="en-IE"/>
        </w:rPr>
      </w:pPr>
    </w:p>
    <w:p w14:paraId="4EBE9D9D" w14:textId="77777777" w:rsidR="00D03DF3" w:rsidRDefault="00D03DF3" w:rsidP="00D03DF3">
      <w:pPr>
        <w:jc w:val="both"/>
        <w:rPr>
          <w:rFonts w:ascii="Arial" w:hAnsi="Arial" w:cs="Arial"/>
          <w:sz w:val="24"/>
          <w:lang w:val="en-IE"/>
        </w:rPr>
      </w:pPr>
      <w:r w:rsidRPr="001E0D05">
        <w:rPr>
          <w:rFonts w:ascii="Arial" w:hAnsi="Arial" w:cs="Arial"/>
          <w:sz w:val="24"/>
          <w:lang w:val="en-IE"/>
        </w:rPr>
        <w:t>The ELA will ensure the continuity of the contract with the external service provider in charge of managing the Helpdesk.</w:t>
      </w:r>
    </w:p>
    <w:p w14:paraId="01B16E39" w14:textId="77777777" w:rsidR="00D03DF3" w:rsidRPr="001E0D05" w:rsidRDefault="00D03DF3" w:rsidP="00D03DF3">
      <w:pPr>
        <w:jc w:val="both"/>
        <w:rPr>
          <w:rFonts w:ascii="Arial" w:hAnsi="Arial" w:cs="Arial"/>
          <w:sz w:val="24"/>
          <w:lang w:val="en-IE"/>
        </w:rPr>
      </w:pPr>
    </w:p>
    <w:p w14:paraId="0EDE408D" w14:textId="77777777" w:rsidR="00D03DF3" w:rsidRPr="001E0D05" w:rsidRDefault="00D03DF3" w:rsidP="00D36FF2">
      <w:pPr>
        <w:spacing w:after="240"/>
        <w:jc w:val="both"/>
        <w:rPr>
          <w:rFonts w:ascii="Arial" w:hAnsi="Arial" w:cs="Arial"/>
          <w:sz w:val="24"/>
          <w:u w:val="single"/>
          <w:lang w:val="en-IE"/>
        </w:rPr>
      </w:pPr>
      <w:r w:rsidRPr="001E0D05">
        <w:rPr>
          <w:rFonts w:ascii="Arial" w:hAnsi="Arial" w:cs="Arial"/>
          <w:sz w:val="24"/>
          <w:u w:val="single"/>
          <w:lang w:val="en-IE"/>
        </w:rPr>
        <w:t>Translations</w:t>
      </w:r>
    </w:p>
    <w:p w14:paraId="7F5F0B68" w14:textId="2482074A" w:rsidR="00D03DF3" w:rsidRDefault="00D03DF3" w:rsidP="00D03DF3">
      <w:pPr>
        <w:jc w:val="both"/>
        <w:rPr>
          <w:rFonts w:ascii="Arial" w:hAnsi="Arial" w:cs="Arial"/>
          <w:sz w:val="24"/>
          <w:lang w:val="en-IE"/>
        </w:rPr>
      </w:pPr>
      <w:r w:rsidRPr="001E0D05">
        <w:rPr>
          <w:rFonts w:ascii="Arial" w:hAnsi="Arial" w:cs="Arial"/>
          <w:sz w:val="24"/>
          <w:lang w:val="en-IE"/>
        </w:rPr>
        <w:t xml:space="preserve">In line with Articles 22 to 24 of the EURES Regulation, EURES provides information on living and working conditions as well as specific rules relating to recruitment in the Member States, to be published on the EURES website. The objective is to provide adequate information tools to workers and employers who consider moving to or recruiting from another country. </w:t>
      </w:r>
    </w:p>
    <w:p w14:paraId="2B5E5702" w14:textId="77777777" w:rsidR="00D03DF3" w:rsidRPr="001E0D05" w:rsidRDefault="00D03DF3" w:rsidP="00D03DF3">
      <w:pPr>
        <w:jc w:val="both"/>
        <w:rPr>
          <w:rFonts w:ascii="Arial" w:hAnsi="Arial" w:cs="Arial"/>
          <w:sz w:val="24"/>
          <w:lang w:val="en-IE"/>
        </w:rPr>
      </w:pPr>
    </w:p>
    <w:p w14:paraId="7C458FBC" w14:textId="77777777" w:rsidR="00D03DF3" w:rsidRPr="001E0D05" w:rsidRDefault="00D03DF3" w:rsidP="00D03DF3">
      <w:pPr>
        <w:jc w:val="both"/>
        <w:rPr>
          <w:rFonts w:ascii="Arial" w:hAnsi="Arial" w:cs="Arial"/>
          <w:sz w:val="24"/>
          <w:lang w:val="en-IE"/>
        </w:rPr>
      </w:pPr>
      <w:r w:rsidRPr="001E0D05">
        <w:rPr>
          <w:rFonts w:ascii="Arial" w:hAnsi="Arial" w:cs="Arial"/>
          <w:sz w:val="24"/>
          <w:lang w:val="en-IE"/>
        </w:rPr>
        <w:t>The ELA will launch the exercise of updating national information included in the “Living and Working Conditions” of the EURES website, with a view to ensuring translation in Q4 2020, in line with the usual procedure.</w:t>
      </w:r>
    </w:p>
    <w:p w14:paraId="13A82259" w14:textId="77777777" w:rsidR="00D03DF3" w:rsidRDefault="00D03DF3" w:rsidP="00D03DF3">
      <w:pPr>
        <w:rPr>
          <w:rFonts w:ascii="Arial" w:hAnsi="Arial" w:cs="Arial"/>
          <w:sz w:val="24"/>
          <w:u w:val="single"/>
          <w:lang w:val="en-IE"/>
        </w:rPr>
      </w:pPr>
    </w:p>
    <w:p w14:paraId="343A7E55" w14:textId="77777777" w:rsidR="00D03DF3" w:rsidRPr="00F65293" w:rsidRDefault="00D03DF3" w:rsidP="00D36FF2">
      <w:pPr>
        <w:spacing w:after="240"/>
        <w:jc w:val="both"/>
        <w:rPr>
          <w:rFonts w:ascii="Arial" w:hAnsi="Arial" w:cs="Arial"/>
          <w:sz w:val="24"/>
          <w:u w:val="single"/>
          <w:lang w:val="en-IE"/>
        </w:rPr>
      </w:pPr>
      <w:r w:rsidRPr="00F65293">
        <w:rPr>
          <w:rFonts w:ascii="Arial" w:hAnsi="Arial" w:cs="Arial"/>
          <w:sz w:val="24"/>
          <w:u w:val="single"/>
          <w:lang w:val="en-IE"/>
        </w:rPr>
        <w:t>Hosting fees and licences</w:t>
      </w:r>
    </w:p>
    <w:p w14:paraId="430D6017" w14:textId="1B07525D" w:rsidR="00D03DF3" w:rsidRDefault="00D03DF3" w:rsidP="00D03DF3">
      <w:pPr>
        <w:jc w:val="both"/>
        <w:rPr>
          <w:rFonts w:ascii="Arial" w:hAnsi="Arial" w:cs="Arial"/>
          <w:sz w:val="24"/>
          <w:lang w:val="en-IE"/>
        </w:rPr>
      </w:pPr>
      <w:r w:rsidRPr="00F65293">
        <w:rPr>
          <w:rFonts w:ascii="Arial" w:hAnsi="Arial" w:cs="Arial"/>
          <w:sz w:val="24"/>
          <w:lang w:val="en-IE"/>
        </w:rPr>
        <w:t>The delivery of the services on the EURES Portal require the purchase of IT infrastructure and related services (such as server operation and maintenance, operating system upgrades..) used for hosting of all IT components and services of EURES IT Portal.</w:t>
      </w:r>
    </w:p>
    <w:p w14:paraId="02EF6D44" w14:textId="77777777" w:rsidR="00D03DF3" w:rsidRPr="00F65293" w:rsidRDefault="00D03DF3" w:rsidP="00D03DF3">
      <w:pPr>
        <w:jc w:val="both"/>
        <w:rPr>
          <w:rFonts w:ascii="Arial" w:hAnsi="Arial" w:cs="Arial"/>
          <w:sz w:val="24"/>
          <w:lang w:val="en-IE"/>
        </w:rPr>
      </w:pPr>
    </w:p>
    <w:p w14:paraId="732C2AB1" w14:textId="7C75ADFE" w:rsidR="00D03DF3" w:rsidRDefault="00D03DF3" w:rsidP="00D03DF3">
      <w:pPr>
        <w:jc w:val="both"/>
        <w:rPr>
          <w:rFonts w:ascii="Arial" w:hAnsi="Arial" w:cs="Arial"/>
          <w:sz w:val="24"/>
          <w:lang w:val="en-IE"/>
        </w:rPr>
      </w:pPr>
      <w:r w:rsidRPr="00F65293">
        <w:rPr>
          <w:rFonts w:ascii="Arial" w:hAnsi="Arial" w:cs="Arial"/>
          <w:sz w:val="24"/>
          <w:lang w:val="en-IE"/>
        </w:rPr>
        <w:t>It also requires the acquisition and maintenance of licences for proprietary software used in EURES IT portal (including some of EURES Portal IT components, features and services, including training/webinar, chat solutions and matching engine).</w:t>
      </w:r>
    </w:p>
    <w:p w14:paraId="49A0DBFD" w14:textId="77777777" w:rsidR="00D03DF3" w:rsidRPr="00F65293" w:rsidRDefault="00D03DF3" w:rsidP="00D03DF3">
      <w:pPr>
        <w:jc w:val="both"/>
        <w:rPr>
          <w:rFonts w:ascii="Arial" w:hAnsi="Arial" w:cs="Arial"/>
          <w:sz w:val="24"/>
          <w:lang w:val="en-IE"/>
        </w:rPr>
      </w:pPr>
    </w:p>
    <w:p w14:paraId="006ECE6D" w14:textId="77777777" w:rsidR="00D03DF3" w:rsidRDefault="00D03DF3" w:rsidP="00D03DF3">
      <w:pPr>
        <w:rPr>
          <w:rFonts w:ascii="Arial" w:hAnsi="Arial" w:cs="Arial"/>
          <w:sz w:val="24"/>
          <w:lang w:val="en-IE"/>
        </w:rPr>
      </w:pPr>
      <w:r w:rsidRPr="00F65293">
        <w:rPr>
          <w:rFonts w:ascii="Arial" w:hAnsi="Arial" w:cs="Arial"/>
          <w:sz w:val="24"/>
          <w:lang w:val="en-IE"/>
        </w:rPr>
        <w:t>The ELA will ensure the continuity of such services by taking over the contribution to the related framework contract, managed by the Commission.</w:t>
      </w:r>
      <w:r>
        <w:rPr>
          <w:rFonts w:ascii="Arial" w:hAnsi="Arial" w:cs="Arial"/>
          <w:sz w:val="24"/>
          <w:lang w:val="en-IE"/>
        </w:rPr>
        <w:t xml:space="preserve">    </w:t>
      </w:r>
    </w:p>
    <w:p w14:paraId="35F1E478" w14:textId="77777777" w:rsidR="00D03DF3" w:rsidRDefault="00D03DF3" w:rsidP="00D03DF3">
      <w:pPr>
        <w:rPr>
          <w:rFonts w:ascii="Arial" w:hAnsi="Arial" w:cs="Arial"/>
          <w:sz w:val="24"/>
          <w:lang w:val="en-IE"/>
        </w:rPr>
      </w:pPr>
    </w:p>
    <w:p w14:paraId="224FEE9A" w14:textId="6D92E0DA" w:rsidR="00D03DF3" w:rsidRPr="000C0533" w:rsidRDefault="00D03DF3" w:rsidP="00D36FF2">
      <w:pPr>
        <w:pStyle w:val="BodyText"/>
        <w:numPr>
          <w:ilvl w:val="3"/>
          <w:numId w:val="11"/>
        </w:numPr>
        <w:tabs>
          <w:tab w:val="left" w:pos="0"/>
        </w:tabs>
        <w:spacing w:after="240" w:line="276" w:lineRule="auto"/>
        <w:ind w:right="283"/>
        <w:jc w:val="both"/>
        <w:rPr>
          <w:rFonts w:ascii="Arial" w:hAnsi="Arial" w:cs="Arial"/>
          <w:b/>
          <w:sz w:val="24"/>
          <w:szCs w:val="24"/>
          <w:lang w:val="en-IE"/>
        </w:rPr>
      </w:pPr>
      <w:r w:rsidRPr="000C0533">
        <w:rPr>
          <w:rFonts w:ascii="Arial" w:hAnsi="Arial" w:cs="Arial"/>
          <w:b/>
          <w:sz w:val="24"/>
          <w:szCs w:val="24"/>
          <w:lang w:val="en-IE"/>
        </w:rPr>
        <w:t>Communication and dissemination activities: Communication framework contract</w:t>
      </w:r>
    </w:p>
    <w:p w14:paraId="14688D63" w14:textId="159DAF23" w:rsidR="00D03DF3" w:rsidRDefault="00D03DF3" w:rsidP="00D03DF3">
      <w:pPr>
        <w:jc w:val="both"/>
        <w:rPr>
          <w:rFonts w:ascii="Arial" w:hAnsi="Arial" w:cs="Arial"/>
          <w:sz w:val="24"/>
          <w:lang w:val="en-IE"/>
        </w:rPr>
      </w:pPr>
      <w:r w:rsidRPr="001E0D05">
        <w:rPr>
          <w:rFonts w:ascii="Arial" w:hAnsi="Arial" w:cs="Arial"/>
          <w:sz w:val="24"/>
          <w:lang w:val="en-IE"/>
        </w:rPr>
        <w:t xml:space="preserve">The ELA will launch a new service framework contract in order to be able to implement its communication activities and execute its information and communication budget. The </w:t>
      </w:r>
      <w:r w:rsidRPr="001E0D05">
        <w:rPr>
          <w:rFonts w:ascii="Arial" w:hAnsi="Arial" w:cs="Arial"/>
          <w:sz w:val="24"/>
          <w:lang w:val="en-IE"/>
        </w:rPr>
        <w:lastRenderedPageBreak/>
        <w:t xml:space="preserve">envisaged contract will cover the following areas (non-exhaustive list): </w:t>
      </w:r>
    </w:p>
    <w:p w14:paraId="5D549D51" w14:textId="77777777" w:rsidR="00D03DF3" w:rsidRPr="001E0D05" w:rsidRDefault="00D03DF3" w:rsidP="00D03DF3">
      <w:pPr>
        <w:jc w:val="both"/>
        <w:rPr>
          <w:rFonts w:ascii="Arial" w:hAnsi="Arial" w:cs="Arial"/>
          <w:sz w:val="24"/>
          <w:lang w:val="en-IE"/>
        </w:rPr>
      </w:pPr>
    </w:p>
    <w:p w14:paraId="0A04C9CA" w14:textId="77777777" w:rsidR="00D03DF3" w:rsidRPr="001E0D05" w:rsidRDefault="00D03DF3" w:rsidP="00D03DF3">
      <w:pPr>
        <w:pStyle w:val="ListParagraph"/>
        <w:widowControl/>
        <w:numPr>
          <w:ilvl w:val="0"/>
          <w:numId w:val="17"/>
        </w:numPr>
        <w:autoSpaceDE/>
        <w:autoSpaceDN/>
        <w:spacing w:after="200" w:line="276" w:lineRule="auto"/>
        <w:contextualSpacing/>
        <w:jc w:val="both"/>
        <w:rPr>
          <w:rFonts w:ascii="Arial" w:hAnsi="Arial" w:cs="Arial"/>
          <w:sz w:val="24"/>
          <w:lang w:val="en-IE"/>
        </w:rPr>
      </w:pPr>
      <w:r w:rsidRPr="001E0D05">
        <w:rPr>
          <w:rFonts w:ascii="Arial" w:hAnsi="Arial" w:cs="Arial"/>
          <w:sz w:val="24"/>
          <w:lang w:val="en-IE"/>
        </w:rPr>
        <w:t>Communication strategies and campaigns</w:t>
      </w:r>
    </w:p>
    <w:p w14:paraId="74BDEE0C"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Media analysis and monitoring</w:t>
      </w:r>
    </w:p>
    <w:p w14:paraId="35622DE2"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Digital communication</w:t>
      </w:r>
    </w:p>
    <w:p w14:paraId="128703C2"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Web management</w:t>
      </w:r>
    </w:p>
    <w:p w14:paraId="60A7D5FB"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Graphic design</w:t>
      </w:r>
    </w:p>
    <w:p w14:paraId="21C8FA58"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Photo and multimedia content</w:t>
      </w:r>
    </w:p>
    <w:p w14:paraId="3638B49F"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Publications production</w:t>
      </w:r>
    </w:p>
    <w:p w14:paraId="38760982" w14:textId="77777777" w:rsidR="00D03DF3" w:rsidRPr="001E0D05" w:rsidRDefault="00D03DF3" w:rsidP="00D03DF3">
      <w:pPr>
        <w:pStyle w:val="ListParagraph"/>
        <w:widowControl/>
        <w:numPr>
          <w:ilvl w:val="0"/>
          <w:numId w:val="17"/>
        </w:numPr>
        <w:autoSpaceDE/>
        <w:autoSpaceDN/>
        <w:spacing w:after="200" w:line="276" w:lineRule="auto"/>
        <w:contextualSpacing/>
        <w:rPr>
          <w:rFonts w:ascii="Arial" w:hAnsi="Arial" w:cs="Arial"/>
          <w:sz w:val="24"/>
          <w:lang w:val="en-IE"/>
        </w:rPr>
      </w:pPr>
      <w:r w:rsidRPr="001E0D05">
        <w:rPr>
          <w:rFonts w:ascii="Arial" w:hAnsi="Arial" w:cs="Arial"/>
          <w:sz w:val="24"/>
          <w:lang w:val="en-IE"/>
        </w:rPr>
        <w:t>Production of promotional items</w:t>
      </w:r>
    </w:p>
    <w:p w14:paraId="2357A096" w14:textId="11EA20E3" w:rsidR="00D03DF3" w:rsidRDefault="00D03DF3" w:rsidP="00D03DF3">
      <w:pPr>
        <w:rPr>
          <w:rFonts w:ascii="Arial" w:hAnsi="Arial" w:cs="Arial"/>
          <w:sz w:val="24"/>
          <w:lang w:val="en-IE"/>
        </w:rPr>
      </w:pPr>
      <w:r>
        <w:rPr>
          <w:rFonts w:ascii="Arial" w:hAnsi="Arial" w:cs="Arial"/>
          <w:sz w:val="24"/>
          <w:lang w:val="en-IE"/>
        </w:rPr>
        <w:t>The ELA will tender this contract indicatively in Q2 of 2020</w:t>
      </w:r>
      <w:r w:rsidRPr="001E0D05">
        <w:rPr>
          <w:rFonts w:ascii="Arial" w:hAnsi="Arial" w:cs="Arial"/>
          <w:sz w:val="24"/>
          <w:lang w:val="en-IE"/>
        </w:rPr>
        <w:t>.</w:t>
      </w:r>
    </w:p>
    <w:p w14:paraId="73B86498" w14:textId="7B5CAB52" w:rsidR="00D03DF3" w:rsidRPr="00A96B0C" w:rsidRDefault="00D03DF3" w:rsidP="00D03DF3">
      <w:pPr>
        <w:rPr>
          <w:rFonts w:ascii="Arial" w:hAnsi="Arial" w:cs="Arial"/>
          <w:b/>
          <w:sz w:val="24"/>
          <w:lang w:val="en-IE"/>
        </w:rPr>
      </w:pPr>
    </w:p>
    <w:tbl>
      <w:tblPr>
        <w:tblStyle w:val="TableGrid"/>
        <w:tblW w:w="0" w:type="auto"/>
        <w:tblLook w:val="04A0" w:firstRow="1" w:lastRow="0" w:firstColumn="1" w:lastColumn="0" w:noHBand="0" w:noVBand="1"/>
      </w:tblPr>
      <w:tblGrid>
        <w:gridCol w:w="3703"/>
        <w:gridCol w:w="2388"/>
        <w:gridCol w:w="1168"/>
        <w:gridCol w:w="2029"/>
      </w:tblGrid>
      <w:tr w:rsidR="00D03DF3" w:rsidRPr="001E0D05" w14:paraId="0C7ED41D" w14:textId="77777777" w:rsidTr="009520DB">
        <w:tc>
          <w:tcPr>
            <w:tcW w:w="3703" w:type="dxa"/>
          </w:tcPr>
          <w:p w14:paraId="03F80DB7" w14:textId="77777777" w:rsidR="00D03DF3" w:rsidRPr="006624D6" w:rsidRDefault="00D03DF3" w:rsidP="009520D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Activities</w:t>
            </w:r>
          </w:p>
        </w:tc>
        <w:tc>
          <w:tcPr>
            <w:tcW w:w="2388" w:type="dxa"/>
          </w:tcPr>
          <w:p w14:paraId="5E32C792" w14:textId="77777777" w:rsidR="00D03DF3" w:rsidRPr="006624D6" w:rsidRDefault="00D03DF3" w:rsidP="009520D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Method</w:t>
            </w:r>
          </w:p>
        </w:tc>
        <w:tc>
          <w:tcPr>
            <w:tcW w:w="1168" w:type="dxa"/>
          </w:tcPr>
          <w:p w14:paraId="5D1F1EAE" w14:textId="77777777" w:rsidR="00D03DF3" w:rsidRPr="006624D6" w:rsidRDefault="00D03DF3" w:rsidP="009520D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 xml:space="preserve"> Time</w:t>
            </w:r>
          </w:p>
        </w:tc>
        <w:tc>
          <w:tcPr>
            <w:tcW w:w="2029" w:type="dxa"/>
          </w:tcPr>
          <w:p w14:paraId="0DE8CF9B" w14:textId="77777777" w:rsidR="00D03DF3" w:rsidRPr="006624D6" w:rsidRDefault="00D03DF3" w:rsidP="009520D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 xml:space="preserve">2020 </w:t>
            </w:r>
            <w:r>
              <w:rPr>
                <w:rFonts w:ascii="Arial" w:hAnsi="Arial" w:cs="Arial"/>
                <w:b/>
                <w:sz w:val="22"/>
                <w:szCs w:val="24"/>
                <w:lang w:val="en-IE"/>
              </w:rPr>
              <w:t>E</w:t>
            </w:r>
            <w:r w:rsidRPr="006624D6">
              <w:rPr>
                <w:rFonts w:ascii="Arial" w:hAnsi="Arial" w:cs="Arial"/>
                <w:b/>
                <w:sz w:val="22"/>
                <w:szCs w:val="24"/>
                <w:lang w:val="en-IE"/>
              </w:rPr>
              <w:t>stimate</w:t>
            </w:r>
          </w:p>
          <w:p w14:paraId="37713158" w14:textId="77777777" w:rsidR="00D03DF3" w:rsidRPr="006624D6" w:rsidRDefault="00D03DF3" w:rsidP="009520D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(EUR)</w:t>
            </w:r>
          </w:p>
        </w:tc>
      </w:tr>
      <w:tr w:rsidR="00D03DF3" w:rsidRPr="001E0D05" w14:paraId="2E4F0B71" w14:textId="77777777" w:rsidTr="009520DB">
        <w:tc>
          <w:tcPr>
            <w:tcW w:w="3703" w:type="dxa"/>
          </w:tcPr>
          <w:p w14:paraId="789C1986" w14:textId="77777777" w:rsidR="00D03DF3" w:rsidRDefault="00D03DF3" w:rsidP="009520DB">
            <w:pPr>
              <w:rPr>
                <w:rFonts w:ascii="Arial" w:hAnsi="Arial" w:cs="Arial"/>
                <w:lang w:val="en-IE"/>
              </w:rPr>
            </w:pPr>
          </w:p>
          <w:p w14:paraId="178C2457" w14:textId="77777777" w:rsidR="00D03DF3" w:rsidRDefault="00D03DF3" w:rsidP="009520DB">
            <w:pPr>
              <w:rPr>
                <w:rFonts w:ascii="Arial" w:hAnsi="Arial" w:cs="Arial"/>
                <w:lang w:val="en-IE"/>
              </w:rPr>
            </w:pPr>
            <w:r w:rsidRPr="006624D6">
              <w:rPr>
                <w:rFonts w:ascii="Arial" w:hAnsi="Arial" w:cs="Arial"/>
                <w:lang w:val="en-IE"/>
              </w:rPr>
              <w:t xml:space="preserve">European Coordination </w:t>
            </w:r>
            <w:r>
              <w:rPr>
                <w:rFonts w:ascii="Arial" w:hAnsi="Arial" w:cs="Arial"/>
                <w:lang w:val="en-IE"/>
              </w:rPr>
              <w:t>Group</w:t>
            </w:r>
            <w:r w:rsidRPr="006624D6">
              <w:rPr>
                <w:rFonts w:ascii="Arial" w:hAnsi="Arial" w:cs="Arial"/>
                <w:lang w:val="en-IE"/>
              </w:rPr>
              <w:t xml:space="preserve"> </w:t>
            </w:r>
          </w:p>
          <w:p w14:paraId="765ADE6A" w14:textId="77777777" w:rsidR="00D03DF3" w:rsidRPr="006624D6" w:rsidRDefault="00D03DF3" w:rsidP="009520DB">
            <w:pPr>
              <w:rPr>
                <w:rFonts w:ascii="Arial" w:hAnsi="Arial" w:cs="Arial"/>
                <w:lang w:val="en-IE"/>
              </w:rPr>
            </w:pPr>
            <w:r>
              <w:rPr>
                <w:rFonts w:ascii="Arial" w:hAnsi="Arial" w:cs="Arial"/>
                <w:lang w:val="en-IE"/>
              </w:rPr>
              <w:t>(2.6.1.1)</w:t>
            </w:r>
          </w:p>
          <w:p w14:paraId="17138D49" w14:textId="77777777" w:rsidR="00D03DF3" w:rsidRPr="006624D6" w:rsidRDefault="00D03DF3" w:rsidP="009520DB">
            <w:pPr>
              <w:rPr>
                <w:rFonts w:ascii="Arial" w:hAnsi="Arial" w:cs="Arial"/>
                <w:lang w:val="en-IE"/>
              </w:rPr>
            </w:pPr>
          </w:p>
        </w:tc>
        <w:tc>
          <w:tcPr>
            <w:tcW w:w="2388" w:type="dxa"/>
          </w:tcPr>
          <w:p w14:paraId="641FD7E6" w14:textId="77777777" w:rsidR="00D03DF3" w:rsidRPr="006624D6" w:rsidRDefault="00D03DF3" w:rsidP="009520DB">
            <w:pPr>
              <w:rPr>
                <w:rFonts w:ascii="Arial" w:hAnsi="Arial" w:cs="Arial"/>
                <w:lang w:val="en-IE"/>
              </w:rPr>
            </w:pPr>
            <w:r w:rsidRPr="006624D6">
              <w:rPr>
                <w:rFonts w:ascii="Arial" w:hAnsi="Arial" w:cs="Arial"/>
                <w:lang w:val="en-IE"/>
              </w:rPr>
              <w:t xml:space="preserve">Specific contracts for the organisation and reimbursement of travel expenses </w:t>
            </w:r>
          </w:p>
        </w:tc>
        <w:tc>
          <w:tcPr>
            <w:tcW w:w="1168" w:type="dxa"/>
          </w:tcPr>
          <w:p w14:paraId="34AA7D1B" w14:textId="77777777" w:rsidR="00D03DF3" w:rsidRDefault="00D03DF3" w:rsidP="009520DB">
            <w:pPr>
              <w:jc w:val="center"/>
              <w:rPr>
                <w:rFonts w:ascii="Arial" w:hAnsi="Arial" w:cs="Arial"/>
                <w:lang w:val="en-IE"/>
              </w:rPr>
            </w:pPr>
          </w:p>
          <w:p w14:paraId="0B8E3387" w14:textId="77777777" w:rsidR="00D03DF3" w:rsidRPr="006624D6" w:rsidRDefault="00D03DF3" w:rsidP="009520DB">
            <w:pPr>
              <w:jc w:val="center"/>
              <w:rPr>
                <w:rFonts w:ascii="Arial" w:hAnsi="Arial" w:cs="Arial"/>
                <w:lang w:val="en-IE"/>
              </w:rPr>
            </w:pPr>
            <w:r w:rsidRPr="006624D6">
              <w:rPr>
                <w:rFonts w:ascii="Arial" w:hAnsi="Arial" w:cs="Arial"/>
                <w:lang w:val="en-IE"/>
              </w:rPr>
              <w:t>Q4 2020</w:t>
            </w:r>
          </w:p>
        </w:tc>
        <w:tc>
          <w:tcPr>
            <w:tcW w:w="2029" w:type="dxa"/>
          </w:tcPr>
          <w:p w14:paraId="695B76CA" w14:textId="77777777" w:rsidR="00D03DF3" w:rsidRDefault="00D03DF3" w:rsidP="009520DB">
            <w:pPr>
              <w:jc w:val="center"/>
              <w:rPr>
                <w:rFonts w:ascii="Arial" w:hAnsi="Arial" w:cs="Arial"/>
                <w:lang w:val="en-IE"/>
              </w:rPr>
            </w:pPr>
          </w:p>
          <w:p w14:paraId="74E91EC9" w14:textId="77777777" w:rsidR="00D03DF3" w:rsidRPr="006624D6" w:rsidRDefault="00D03DF3" w:rsidP="009520DB">
            <w:pPr>
              <w:jc w:val="center"/>
              <w:rPr>
                <w:rFonts w:ascii="Arial" w:hAnsi="Arial" w:cs="Arial"/>
                <w:lang w:val="en-IE"/>
              </w:rPr>
            </w:pPr>
            <w:r w:rsidRPr="006624D6">
              <w:rPr>
                <w:rFonts w:ascii="Arial" w:hAnsi="Arial" w:cs="Arial"/>
                <w:lang w:val="en-IE"/>
              </w:rPr>
              <w:t>60 000</w:t>
            </w:r>
          </w:p>
        </w:tc>
      </w:tr>
      <w:tr w:rsidR="00D03DF3" w:rsidRPr="001E0D05" w14:paraId="508106BF" w14:textId="77777777" w:rsidTr="009520DB">
        <w:tc>
          <w:tcPr>
            <w:tcW w:w="3703" w:type="dxa"/>
          </w:tcPr>
          <w:p w14:paraId="2976C2CC" w14:textId="77777777" w:rsidR="00D03DF3" w:rsidRPr="006624D6" w:rsidRDefault="00D03DF3" w:rsidP="009520DB">
            <w:pPr>
              <w:rPr>
                <w:rFonts w:ascii="Arial" w:hAnsi="Arial" w:cs="Arial"/>
                <w:lang w:val="en-IE"/>
              </w:rPr>
            </w:pPr>
            <w:r w:rsidRPr="006624D6">
              <w:rPr>
                <w:rFonts w:ascii="Arial" w:hAnsi="Arial" w:cs="Arial"/>
                <w:lang w:val="en-IE"/>
              </w:rPr>
              <w:t>Training</w:t>
            </w:r>
            <w:r>
              <w:rPr>
                <w:rFonts w:ascii="Arial" w:hAnsi="Arial" w:cs="Arial"/>
                <w:lang w:val="en-IE"/>
              </w:rPr>
              <w:t xml:space="preserve"> (2.6.1.4)</w:t>
            </w:r>
          </w:p>
        </w:tc>
        <w:tc>
          <w:tcPr>
            <w:tcW w:w="2388" w:type="dxa"/>
          </w:tcPr>
          <w:p w14:paraId="4C1BD04B" w14:textId="77777777" w:rsidR="00D03DF3" w:rsidRPr="006624D6" w:rsidRDefault="00D03DF3" w:rsidP="009520DB">
            <w:pPr>
              <w:rPr>
                <w:rFonts w:ascii="Arial" w:hAnsi="Arial" w:cs="Arial"/>
                <w:lang w:val="en-IE"/>
              </w:rPr>
            </w:pPr>
            <w:r w:rsidRPr="006624D6">
              <w:rPr>
                <w:rFonts w:ascii="Arial" w:hAnsi="Arial" w:cs="Arial"/>
                <w:lang w:val="en-IE"/>
              </w:rPr>
              <w:t>Contract for services</w:t>
            </w:r>
          </w:p>
        </w:tc>
        <w:tc>
          <w:tcPr>
            <w:tcW w:w="1168" w:type="dxa"/>
          </w:tcPr>
          <w:p w14:paraId="6212B253" w14:textId="77777777" w:rsidR="00D03DF3" w:rsidRPr="006624D6" w:rsidRDefault="00D03DF3" w:rsidP="009520DB">
            <w:pPr>
              <w:jc w:val="center"/>
              <w:rPr>
                <w:rFonts w:ascii="Arial" w:hAnsi="Arial" w:cs="Arial"/>
                <w:lang w:val="en-IE"/>
              </w:rPr>
            </w:pPr>
            <w:r w:rsidRPr="006624D6">
              <w:rPr>
                <w:rFonts w:ascii="Arial" w:hAnsi="Arial" w:cs="Arial"/>
                <w:lang w:val="en-IE"/>
              </w:rPr>
              <w:t>Q4 2020</w:t>
            </w:r>
          </w:p>
        </w:tc>
        <w:tc>
          <w:tcPr>
            <w:tcW w:w="2029" w:type="dxa"/>
          </w:tcPr>
          <w:p w14:paraId="024FF545" w14:textId="77777777" w:rsidR="00D03DF3" w:rsidRPr="006624D6" w:rsidRDefault="00D03DF3" w:rsidP="009520DB">
            <w:pPr>
              <w:jc w:val="center"/>
              <w:rPr>
                <w:rFonts w:ascii="Arial" w:hAnsi="Arial" w:cs="Arial"/>
                <w:lang w:val="en-IE"/>
              </w:rPr>
            </w:pPr>
            <w:r w:rsidRPr="006624D6">
              <w:rPr>
                <w:rFonts w:ascii="Arial" w:hAnsi="Arial" w:cs="Arial"/>
                <w:lang w:val="en-IE"/>
              </w:rPr>
              <w:t>450 000</w:t>
            </w:r>
          </w:p>
        </w:tc>
      </w:tr>
      <w:tr w:rsidR="00D03DF3" w:rsidRPr="001E0D05" w14:paraId="2974691D" w14:textId="77777777" w:rsidTr="009520DB">
        <w:tc>
          <w:tcPr>
            <w:tcW w:w="3703" w:type="dxa"/>
          </w:tcPr>
          <w:p w14:paraId="00ECAD74" w14:textId="77777777" w:rsidR="00D03DF3" w:rsidRPr="006624D6" w:rsidRDefault="00D03DF3" w:rsidP="009520DB">
            <w:pPr>
              <w:rPr>
                <w:rFonts w:ascii="Arial" w:hAnsi="Arial" w:cs="Arial"/>
                <w:lang w:val="en-IE"/>
              </w:rPr>
            </w:pPr>
            <w:r w:rsidRPr="006624D6">
              <w:rPr>
                <w:rFonts w:ascii="Arial" w:hAnsi="Arial" w:cs="Arial"/>
                <w:lang w:val="en-IE"/>
              </w:rPr>
              <w:t xml:space="preserve">EURES Communication activities </w:t>
            </w:r>
            <w:r>
              <w:rPr>
                <w:rFonts w:ascii="Arial" w:hAnsi="Arial" w:cs="Arial"/>
                <w:lang w:val="en-IE"/>
              </w:rPr>
              <w:t>(2.6.1.5)</w:t>
            </w:r>
          </w:p>
        </w:tc>
        <w:tc>
          <w:tcPr>
            <w:tcW w:w="2388" w:type="dxa"/>
          </w:tcPr>
          <w:p w14:paraId="12C6DA04" w14:textId="77777777" w:rsidR="00D03DF3" w:rsidRPr="006624D6" w:rsidRDefault="00D03DF3" w:rsidP="009520DB">
            <w:pPr>
              <w:rPr>
                <w:rFonts w:ascii="Arial" w:hAnsi="Arial" w:cs="Arial"/>
                <w:lang w:val="en-IE"/>
              </w:rPr>
            </w:pPr>
            <w:r w:rsidRPr="006624D6">
              <w:rPr>
                <w:rFonts w:ascii="Arial" w:hAnsi="Arial" w:cs="Arial"/>
                <w:lang w:val="en-IE"/>
              </w:rPr>
              <w:t xml:space="preserve">Contract for services </w:t>
            </w:r>
          </w:p>
        </w:tc>
        <w:tc>
          <w:tcPr>
            <w:tcW w:w="1168" w:type="dxa"/>
          </w:tcPr>
          <w:p w14:paraId="71A678A2" w14:textId="77777777" w:rsidR="00D03DF3" w:rsidRPr="006624D6" w:rsidRDefault="00D03DF3" w:rsidP="009520DB">
            <w:pPr>
              <w:jc w:val="center"/>
              <w:rPr>
                <w:rFonts w:ascii="Arial" w:hAnsi="Arial" w:cs="Arial"/>
                <w:lang w:val="en-IE"/>
              </w:rPr>
            </w:pPr>
            <w:r w:rsidRPr="006624D6">
              <w:rPr>
                <w:rFonts w:ascii="Arial" w:hAnsi="Arial" w:cs="Arial"/>
                <w:lang w:val="en-IE"/>
              </w:rPr>
              <w:t>Q2 2020</w:t>
            </w:r>
          </w:p>
        </w:tc>
        <w:tc>
          <w:tcPr>
            <w:tcW w:w="2029" w:type="dxa"/>
          </w:tcPr>
          <w:p w14:paraId="1A6ED880" w14:textId="77777777" w:rsidR="00D03DF3" w:rsidRPr="006624D6" w:rsidRDefault="00D03DF3" w:rsidP="009520DB">
            <w:pPr>
              <w:jc w:val="center"/>
              <w:rPr>
                <w:rFonts w:ascii="Arial" w:hAnsi="Arial" w:cs="Arial"/>
                <w:lang w:val="en-IE"/>
              </w:rPr>
            </w:pPr>
            <w:r w:rsidRPr="006624D6">
              <w:rPr>
                <w:rFonts w:ascii="Arial" w:hAnsi="Arial" w:cs="Arial"/>
                <w:lang w:val="en-IE"/>
              </w:rPr>
              <w:t>600 000</w:t>
            </w:r>
          </w:p>
        </w:tc>
      </w:tr>
      <w:tr w:rsidR="00D03DF3" w:rsidRPr="001E0D05" w14:paraId="610A0E71" w14:textId="77777777" w:rsidTr="009520DB">
        <w:tc>
          <w:tcPr>
            <w:tcW w:w="3703" w:type="dxa"/>
          </w:tcPr>
          <w:p w14:paraId="71F1435E" w14:textId="77777777" w:rsidR="00D03DF3" w:rsidRPr="00F65293" w:rsidRDefault="00D03DF3" w:rsidP="009520DB">
            <w:pPr>
              <w:rPr>
                <w:rFonts w:ascii="Arial" w:hAnsi="Arial" w:cs="Arial"/>
                <w:lang w:val="en-IE"/>
              </w:rPr>
            </w:pPr>
            <w:r w:rsidRPr="00F65293">
              <w:rPr>
                <w:rFonts w:ascii="Arial" w:hAnsi="Arial" w:cs="Arial"/>
                <w:lang w:val="en-IE"/>
              </w:rPr>
              <w:t>European (Online) Job Days</w:t>
            </w:r>
            <w:r>
              <w:rPr>
                <w:rFonts w:ascii="Arial" w:hAnsi="Arial" w:cs="Arial"/>
                <w:lang w:val="en-IE"/>
              </w:rPr>
              <w:t xml:space="preserve"> (2.6.1.6)</w:t>
            </w:r>
          </w:p>
        </w:tc>
        <w:tc>
          <w:tcPr>
            <w:tcW w:w="2388" w:type="dxa"/>
          </w:tcPr>
          <w:p w14:paraId="4FB25214" w14:textId="77777777" w:rsidR="00D03DF3" w:rsidRPr="00F65293" w:rsidRDefault="00D03DF3" w:rsidP="009520DB">
            <w:pPr>
              <w:rPr>
                <w:rFonts w:ascii="Arial" w:hAnsi="Arial" w:cs="Arial"/>
                <w:lang w:val="en-IE"/>
              </w:rPr>
            </w:pPr>
            <w:r w:rsidRPr="00F65293">
              <w:rPr>
                <w:rFonts w:ascii="Arial" w:hAnsi="Arial" w:cs="Arial"/>
                <w:lang w:val="en-IE"/>
              </w:rPr>
              <w:t>Contract for services</w:t>
            </w:r>
          </w:p>
        </w:tc>
        <w:tc>
          <w:tcPr>
            <w:tcW w:w="1168" w:type="dxa"/>
          </w:tcPr>
          <w:p w14:paraId="07039685" w14:textId="77777777" w:rsidR="00D03DF3" w:rsidRPr="00F65293" w:rsidRDefault="00D03DF3" w:rsidP="009520DB">
            <w:pPr>
              <w:jc w:val="center"/>
              <w:rPr>
                <w:rFonts w:ascii="Arial" w:hAnsi="Arial" w:cs="Arial"/>
                <w:lang w:val="en-IE"/>
              </w:rPr>
            </w:pPr>
            <w:r w:rsidRPr="00F65293">
              <w:rPr>
                <w:rFonts w:ascii="Arial" w:hAnsi="Arial" w:cs="Arial"/>
                <w:lang w:val="en-IE"/>
              </w:rPr>
              <w:t>Q2 2020</w:t>
            </w:r>
          </w:p>
        </w:tc>
        <w:tc>
          <w:tcPr>
            <w:tcW w:w="2029" w:type="dxa"/>
          </w:tcPr>
          <w:p w14:paraId="2FB22A35" w14:textId="77777777" w:rsidR="00D03DF3" w:rsidRPr="00F65293" w:rsidRDefault="00D03DF3" w:rsidP="009520DB">
            <w:pPr>
              <w:jc w:val="center"/>
              <w:rPr>
                <w:rFonts w:ascii="Arial" w:hAnsi="Arial" w:cs="Arial"/>
                <w:lang w:val="en-IE"/>
              </w:rPr>
            </w:pPr>
            <w:r w:rsidRPr="00F65293">
              <w:rPr>
                <w:rFonts w:ascii="Arial" w:hAnsi="Arial" w:cs="Arial"/>
                <w:lang w:val="en-IE"/>
              </w:rPr>
              <w:t>700 000</w:t>
            </w:r>
          </w:p>
        </w:tc>
      </w:tr>
      <w:tr w:rsidR="00D03DF3" w:rsidRPr="001E0D05" w14:paraId="200B43CF" w14:textId="77777777" w:rsidTr="009520DB">
        <w:tc>
          <w:tcPr>
            <w:tcW w:w="3703" w:type="dxa"/>
          </w:tcPr>
          <w:p w14:paraId="59D8E110" w14:textId="77777777" w:rsidR="00D03DF3" w:rsidRDefault="00D03DF3" w:rsidP="009520DB">
            <w:pPr>
              <w:rPr>
                <w:rFonts w:ascii="Arial" w:hAnsi="Arial" w:cs="Arial"/>
                <w:lang w:val="en-IE"/>
              </w:rPr>
            </w:pPr>
            <w:r w:rsidRPr="00F65293">
              <w:rPr>
                <w:rFonts w:ascii="Arial" w:hAnsi="Arial" w:cs="Arial"/>
                <w:lang w:val="en-IE"/>
              </w:rPr>
              <w:t>EURES Portal</w:t>
            </w:r>
            <w:r>
              <w:rPr>
                <w:rFonts w:ascii="Arial" w:hAnsi="Arial" w:cs="Arial"/>
                <w:lang w:val="en-IE"/>
              </w:rPr>
              <w:t xml:space="preserve"> (2.6.1.7):</w:t>
            </w:r>
          </w:p>
          <w:p w14:paraId="703EFEBF" w14:textId="77777777" w:rsidR="00D03DF3" w:rsidRDefault="00D03DF3" w:rsidP="00D03DF3">
            <w:pPr>
              <w:pStyle w:val="ListParagraph"/>
              <w:widowControl/>
              <w:numPr>
                <w:ilvl w:val="0"/>
                <w:numId w:val="20"/>
              </w:numPr>
              <w:autoSpaceDE/>
              <w:autoSpaceDN/>
              <w:contextualSpacing/>
              <w:rPr>
                <w:rFonts w:ascii="Arial" w:hAnsi="Arial" w:cs="Arial"/>
                <w:lang w:val="en-IE"/>
              </w:rPr>
            </w:pPr>
            <w:r>
              <w:rPr>
                <w:rFonts w:ascii="Arial" w:hAnsi="Arial" w:cs="Arial"/>
                <w:lang w:val="en-IE"/>
              </w:rPr>
              <w:t>consultancy</w:t>
            </w:r>
            <w:r w:rsidRPr="00F65293">
              <w:rPr>
                <w:rFonts w:ascii="Arial" w:hAnsi="Arial" w:cs="Arial"/>
                <w:lang w:val="en-IE"/>
              </w:rPr>
              <w:t xml:space="preserve"> </w:t>
            </w:r>
          </w:p>
          <w:p w14:paraId="3BBFE0B8" w14:textId="77777777" w:rsidR="00D03DF3" w:rsidRDefault="00D03DF3" w:rsidP="00D03DF3">
            <w:pPr>
              <w:pStyle w:val="ListParagraph"/>
              <w:widowControl/>
              <w:numPr>
                <w:ilvl w:val="0"/>
                <w:numId w:val="20"/>
              </w:numPr>
              <w:autoSpaceDE/>
              <w:autoSpaceDN/>
              <w:contextualSpacing/>
              <w:rPr>
                <w:rFonts w:ascii="Arial" w:hAnsi="Arial" w:cs="Arial"/>
                <w:lang w:val="en-IE"/>
              </w:rPr>
            </w:pPr>
            <w:r>
              <w:rPr>
                <w:rFonts w:ascii="Arial" w:hAnsi="Arial" w:cs="Arial"/>
                <w:lang w:val="en-IE"/>
              </w:rPr>
              <w:t>helpdesk</w:t>
            </w:r>
          </w:p>
          <w:p w14:paraId="4B1CCC15" w14:textId="77777777" w:rsidR="00D03DF3" w:rsidRDefault="00D03DF3" w:rsidP="00D03DF3">
            <w:pPr>
              <w:pStyle w:val="ListParagraph"/>
              <w:widowControl/>
              <w:numPr>
                <w:ilvl w:val="0"/>
                <w:numId w:val="20"/>
              </w:numPr>
              <w:autoSpaceDE/>
              <w:autoSpaceDN/>
              <w:contextualSpacing/>
              <w:rPr>
                <w:rFonts w:ascii="Arial" w:hAnsi="Arial" w:cs="Arial"/>
                <w:lang w:val="en-IE"/>
              </w:rPr>
            </w:pPr>
            <w:r>
              <w:rPr>
                <w:rFonts w:ascii="Arial" w:hAnsi="Arial" w:cs="Arial"/>
                <w:lang w:val="en-IE"/>
              </w:rPr>
              <w:t>translations</w:t>
            </w:r>
          </w:p>
          <w:p w14:paraId="2ACE2848" w14:textId="77777777" w:rsidR="00D03DF3" w:rsidRDefault="00D03DF3" w:rsidP="00D03DF3">
            <w:pPr>
              <w:pStyle w:val="ListParagraph"/>
              <w:widowControl/>
              <w:numPr>
                <w:ilvl w:val="0"/>
                <w:numId w:val="20"/>
              </w:numPr>
              <w:autoSpaceDE/>
              <w:autoSpaceDN/>
              <w:contextualSpacing/>
              <w:rPr>
                <w:rFonts w:ascii="Arial" w:hAnsi="Arial" w:cs="Arial"/>
                <w:lang w:val="en-IE"/>
              </w:rPr>
            </w:pPr>
            <w:r>
              <w:rPr>
                <w:rFonts w:ascii="Arial" w:hAnsi="Arial" w:cs="Arial"/>
                <w:lang w:val="en-IE"/>
              </w:rPr>
              <w:t>hosting fee</w:t>
            </w:r>
          </w:p>
          <w:p w14:paraId="41EC2627" w14:textId="77777777" w:rsidR="00D03DF3" w:rsidRPr="00F65293" w:rsidRDefault="00D03DF3" w:rsidP="00D03DF3">
            <w:pPr>
              <w:pStyle w:val="ListParagraph"/>
              <w:widowControl/>
              <w:numPr>
                <w:ilvl w:val="0"/>
                <w:numId w:val="20"/>
              </w:numPr>
              <w:autoSpaceDE/>
              <w:autoSpaceDN/>
              <w:contextualSpacing/>
              <w:rPr>
                <w:rFonts w:ascii="Arial" w:hAnsi="Arial" w:cs="Arial"/>
                <w:lang w:val="en-IE"/>
              </w:rPr>
            </w:pPr>
            <w:r>
              <w:rPr>
                <w:rFonts w:ascii="Arial" w:hAnsi="Arial" w:cs="Arial"/>
                <w:lang w:val="en-IE"/>
              </w:rPr>
              <w:t>licences</w:t>
            </w:r>
          </w:p>
        </w:tc>
        <w:tc>
          <w:tcPr>
            <w:tcW w:w="2388" w:type="dxa"/>
          </w:tcPr>
          <w:p w14:paraId="1B807166" w14:textId="77777777" w:rsidR="00D03DF3" w:rsidRPr="00F65293" w:rsidRDefault="00D03DF3" w:rsidP="009520DB">
            <w:pPr>
              <w:rPr>
                <w:rFonts w:ascii="Arial" w:hAnsi="Arial" w:cs="Arial"/>
                <w:lang w:val="en-IE"/>
              </w:rPr>
            </w:pPr>
          </w:p>
          <w:p w14:paraId="298B179E" w14:textId="77777777" w:rsidR="00D03DF3" w:rsidRDefault="00D03DF3" w:rsidP="009520DB">
            <w:pPr>
              <w:rPr>
                <w:rFonts w:ascii="Arial" w:hAnsi="Arial" w:cs="Arial"/>
                <w:lang w:val="en-IE"/>
              </w:rPr>
            </w:pPr>
          </w:p>
          <w:p w14:paraId="5815DFC4" w14:textId="77777777" w:rsidR="00D03DF3" w:rsidRPr="00F65293" w:rsidRDefault="00D03DF3" w:rsidP="009520DB">
            <w:pPr>
              <w:rPr>
                <w:rFonts w:ascii="Arial" w:hAnsi="Arial" w:cs="Arial"/>
                <w:lang w:val="en-IE"/>
              </w:rPr>
            </w:pPr>
            <w:r w:rsidRPr="00F65293">
              <w:rPr>
                <w:rFonts w:ascii="Arial" w:hAnsi="Arial" w:cs="Arial"/>
                <w:lang w:val="en-IE"/>
              </w:rPr>
              <w:t>Contracts for services</w:t>
            </w:r>
          </w:p>
        </w:tc>
        <w:tc>
          <w:tcPr>
            <w:tcW w:w="1168" w:type="dxa"/>
          </w:tcPr>
          <w:p w14:paraId="5A363419" w14:textId="77777777" w:rsidR="00D03DF3" w:rsidRDefault="00D03DF3" w:rsidP="009520DB">
            <w:pPr>
              <w:jc w:val="center"/>
              <w:rPr>
                <w:rFonts w:ascii="Arial" w:hAnsi="Arial" w:cs="Arial"/>
                <w:lang w:val="en-IE"/>
              </w:rPr>
            </w:pPr>
          </w:p>
          <w:p w14:paraId="6C799160" w14:textId="77777777" w:rsidR="00D03DF3" w:rsidRDefault="00D03DF3" w:rsidP="009520DB">
            <w:pPr>
              <w:jc w:val="center"/>
              <w:rPr>
                <w:rFonts w:ascii="Arial" w:hAnsi="Arial" w:cs="Arial"/>
                <w:lang w:val="en-IE"/>
              </w:rPr>
            </w:pPr>
          </w:p>
          <w:p w14:paraId="0ECAF81B" w14:textId="77777777" w:rsidR="00D03DF3" w:rsidRPr="00F65293" w:rsidRDefault="00D03DF3" w:rsidP="009520DB">
            <w:pPr>
              <w:jc w:val="center"/>
              <w:rPr>
                <w:rFonts w:ascii="Arial" w:hAnsi="Arial" w:cs="Arial"/>
                <w:lang w:val="en-IE"/>
              </w:rPr>
            </w:pPr>
            <w:r>
              <w:rPr>
                <w:rFonts w:ascii="Arial" w:hAnsi="Arial" w:cs="Arial"/>
                <w:lang w:val="en-IE"/>
              </w:rPr>
              <w:t>Q4 2020</w:t>
            </w:r>
          </w:p>
        </w:tc>
        <w:tc>
          <w:tcPr>
            <w:tcW w:w="2029" w:type="dxa"/>
          </w:tcPr>
          <w:p w14:paraId="1B9CCA66" w14:textId="77777777" w:rsidR="00D03DF3" w:rsidRDefault="00D03DF3" w:rsidP="009520DB">
            <w:pPr>
              <w:rPr>
                <w:rFonts w:ascii="Arial" w:hAnsi="Arial" w:cs="Arial"/>
                <w:lang w:val="en-IE"/>
              </w:rPr>
            </w:pPr>
            <w:r>
              <w:rPr>
                <w:rFonts w:ascii="Arial" w:hAnsi="Arial" w:cs="Arial"/>
                <w:lang w:val="en-IE"/>
              </w:rPr>
              <w:t xml:space="preserve">3 000 000, </w:t>
            </w:r>
            <w:r w:rsidRPr="00F65293">
              <w:rPr>
                <w:rFonts w:ascii="Arial" w:hAnsi="Arial" w:cs="Arial"/>
                <w:sz w:val="18"/>
                <w:lang w:val="en-IE"/>
              </w:rPr>
              <w:t>of which</w:t>
            </w:r>
          </w:p>
          <w:p w14:paraId="690D736F" w14:textId="77777777" w:rsidR="00D03DF3" w:rsidRDefault="00D03DF3" w:rsidP="009520DB">
            <w:pPr>
              <w:rPr>
                <w:rFonts w:ascii="Arial" w:hAnsi="Arial" w:cs="Arial"/>
                <w:lang w:val="en-IE"/>
              </w:rPr>
            </w:pPr>
            <w:r w:rsidRPr="00F65293">
              <w:rPr>
                <w:rFonts w:ascii="Arial" w:hAnsi="Arial" w:cs="Arial"/>
                <w:lang w:val="en-IE"/>
              </w:rPr>
              <w:t>-</w:t>
            </w:r>
            <w:r>
              <w:rPr>
                <w:rFonts w:ascii="Arial" w:hAnsi="Arial" w:cs="Arial"/>
                <w:lang w:val="en-IE"/>
              </w:rPr>
              <w:t xml:space="preserve"> </w:t>
            </w:r>
            <w:r w:rsidRPr="00F65293">
              <w:rPr>
                <w:rFonts w:ascii="Arial" w:hAnsi="Arial" w:cs="Arial"/>
                <w:lang w:val="en-IE"/>
              </w:rPr>
              <w:t>700,000</w:t>
            </w:r>
          </w:p>
          <w:p w14:paraId="441254FF" w14:textId="77777777" w:rsidR="00D03DF3" w:rsidRDefault="00D03DF3" w:rsidP="009520DB">
            <w:pPr>
              <w:rPr>
                <w:rFonts w:ascii="Arial" w:hAnsi="Arial" w:cs="Arial"/>
                <w:lang w:val="en-IE"/>
              </w:rPr>
            </w:pPr>
            <w:r>
              <w:rPr>
                <w:rFonts w:ascii="Arial" w:hAnsi="Arial" w:cs="Arial"/>
                <w:lang w:val="en-IE"/>
              </w:rPr>
              <w:t>- 400,000</w:t>
            </w:r>
          </w:p>
          <w:p w14:paraId="0E539527" w14:textId="77777777" w:rsidR="00D03DF3" w:rsidRDefault="00D03DF3" w:rsidP="009520DB">
            <w:pPr>
              <w:rPr>
                <w:rFonts w:ascii="Arial" w:hAnsi="Arial" w:cs="Arial"/>
                <w:lang w:val="en-IE"/>
              </w:rPr>
            </w:pPr>
            <w:r>
              <w:rPr>
                <w:rFonts w:ascii="Arial" w:hAnsi="Arial" w:cs="Arial"/>
                <w:lang w:val="en-IE"/>
              </w:rPr>
              <w:t>- 1 000 000</w:t>
            </w:r>
          </w:p>
          <w:p w14:paraId="378DBCD4" w14:textId="77777777" w:rsidR="00D03DF3" w:rsidRDefault="00D03DF3" w:rsidP="009520DB">
            <w:pPr>
              <w:rPr>
                <w:rFonts w:ascii="Arial" w:hAnsi="Arial" w:cs="Arial"/>
                <w:lang w:val="en-IE"/>
              </w:rPr>
            </w:pPr>
            <w:r>
              <w:rPr>
                <w:rFonts w:ascii="Arial" w:hAnsi="Arial" w:cs="Arial"/>
                <w:lang w:val="en-IE"/>
              </w:rPr>
              <w:t>- 400 000</w:t>
            </w:r>
          </w:p>
          <w:p w14:paraId="5391EBAE" w14:textId="77777777" w:rsidR="00D03DF3" w:rsidRPr="00F65293" w:rsidRDefault="00D03DF3" w:rsidP="009520DB">
            <w:pPr>
              <w:rPr>
                <w:rFonts w:ascii="Arial" w:hAnsi="Arial" w:cs="Arial"/>
                <w:lang w:val="en-IE"/>
              </w:rPr>
            </w:pPr>
            <w:r>
              <w:rPr>
                <w:rFonts w:ascii="Arial" w:hAnsi="Arial" w:cs="Arial"/>
                <w:lang w:val="en-IE"/>
              </w:rPr>
              <w:t>- 500 000</w:t>
            </w:r>
          </w:p>
        </w:tc>
      </w:tr>
      <w:tr w:rsidR="00D03DF3" w:rsidRPr="001E0D05" w14:paraId="5C064780" w14:textId="77777777" w:rsidTr="009520DB">
        <w:tc>
          <w:tcPr>
            <w:tcW w:w="3703" w:type="dxa"/>
            <w:shd w:val="clear" w:color="auto" w:fill="EEECE1" w:themeFill="background2"/>
          </w:tcPr>
          <w:p w14:paraId="6B352E9E" w14:textId="77777777" w:rsidR="00D03DF3" w:rsidRDefault="00D03DF3" w:rsidP="009520DB">
            <w:pPr>
              <w:rPr>
                <w:rFonts w:ascii="Arial" w:hAnsi="Arial" w:cs="Arial"/>
                <w:b/>
                <w:lang w:val="en-IE"/>
              </w:rPr>
            </w:pPr>
          </w:p>
          <w:p w14:paraId="724A5C1B" w14:textId="77777777" w:rsidR="00D03DF3" w:rsidRPr="006624D6" w:rsidRDefault="00D03DF3" w:rsidP="009520DB">
            <w:pPr>
              <w:rPr>
                <w:rFonts w:ascii="Arial" w:hAnsi="Arial" w:cs="Arial"/>
                <w:b/>
                <w:lang w:val="en-IE"/>
              </w:rPr>
            </w:pPr>
            <w:r w:rsidRPr="006624D6">
              <w:rPr>
                <w:rFonts w:ascii="Arial" w:hAnsi="Arial" w:cs="Arial"/>
                <w:b/>
                <w:lang w:val="en-IE"/>
              </w:rPr>
              <w:t>Total</w:t>
            </w:r>
          </w:p>
        </w:tc>
        <w:tc>
          <w:tcPr>
            <w:tcW w:w="2388" w:type="dxa"/>
            <w:shd w:val="clear" w:color="auto" w:fill="EEECE1" w:themeFill="background2"/>
          </w:tcPr>
          <w:p w14:paraId="29BC69A0" w14:textId="77777777" w:rsidR="00D03DF3" w:rsidRPr="006624D6" w:rsidRDefault="00D03DF3" w:rsidP="009520DB">
            <w:pPr>
              <w:rPr>
                <w:rFonts w:ascii="Arial" w:hAnsi="Arial" w:cs="Arial"/>
                <w:b/>
                <w:lang w:val="en-IE"/>
              </w:rPr>
            </w:pPr>
          </w:p>
        </w:tc>
        <w:tc>
          <w:tcPr>
            <w:tcW w:w="1168" w:type="dxa"/>
            <w:shd w:val="clear" w:color="auto" w:fill="EEECE1" w:themeFill="background2"/>
          </w:tcPr>
          <w:p w14:paraId="3C2CF5AB" w14:textId="77777777" w:rsidR="00D03DF3" w:rsidRPr="006624D6" w:rsidRDefault="00D03DF3" w:rsidP="009520DB">
            <w:pPr>
              <w:jc w:val="center"/>
              <w:rPr>
                <w:rFonts w:ascii="Arial" w:hAnsi="Arial" w:cs="Arial"/>
                <w:b/>
                <w:lang w:val="en-IE"/>
              </w:rPr>
            </w:pPr>
          </w:p>
        </w:tc>
        <w:tc>
          <w:tcPr>
            <w:tcW w:w="2029" w:type="dxa"/>
            <w:shd w:val="clear" w:color="auto" w:fill="EEECE1" w:themeFill="background2"/>
          </w:tcPr>
          <w:p w14:paraId="23D97318" w14:textId="77777777" w:rsidR="00D03DF3" w:rsidRDefault="00D03DF3" w:rsidP="009520DB">
            <w:pPr>
              <w:jc w:val="center"/>
              <w:rPr>
                <w:rFonts w:ascii="Arial" w:hAnsi="Arial" w:cs="Arial"/>
                <w:b/>
                <w:highlight w:val="yellow"/>
                <w:lang w:val="en-IE"/>
              </w:rPr>
            </w:pPr>
          </w:p>
          <w:p w14:paraId="68212E9E" w14:textId="77777777" w:rsidR="00D03DF3" w:rsidRPr="006624D6" w:rsidRDefault="00D03DF3" w:rsidP="009520DB">
            <w:pPr>
              <w:jc w:val="center"/>
              <w:rPr>
                <w:rFonts w:ascii="Arial" w:hAnsi="Arial" w:cs="Arial"/>
                <w:b/>
                <w:lang w:val="en-IE"/>
              </w:rPr>
            </w:pPr>
            <w:r>
              <w:rPr>
                <w:rFonts w:ascii="Arial" w:hAnsi="Arial" w:cs="Arial"/>
                <w:b/>
                <w:lang w:val="en-IE"/>
              </w:rPr>
              <w:t>4</w:t>
            </w:r>
            <w:r w:rsidRPr="004D4E42">
              <w:rPr>
                <w:rFonts w:ascii="Arial" w:hAnsi="Arial" w:cs="Arial"/>
                <w:b/>
                <w:lang w:val="en-IE"/>
              </w:rPr>
              <w:t xml:space="preserve"> </w:t>
            </w:r>
            <w:r>
              <w:rPr>
                <w:rFonts w:ascii="Arial" w:hAnsi="Arial" w:cs="Arial"/>
                <w:b/>
                <w:lang w:val="en-IE"/>
              </w:rPr>
              <w:t>8</w:t>
            </w:r>
            <w:r w:rsidRPr="004D4E42">
              <w:rPr>
                <w:rFonts w:ascii="Arial" w:hAnsi="Arial" w:cs="Arial"/>
                <w:b/>
                <w:lang w:val="en-IE"/>
              </w:rPr>
              <w:t>10 000</w:t>
            </w:r>
          </w:p>
        </w:tc>
      </w:tr>
      <w:tr w:rsidR="00D03DF3" w:rsidRPr="001E0D05" w14:paraId="5BD81471" w14:textId="77777777" w:rsidTr="009520DB">
        <w:tc>
          <w:tcPr>
            <w:tcW w:w="3703" w:type="dxa"/>
            <w:shd w:val="clear" w:color="auto" w:fill="EEECE1" w:themeFill="background2"/>
          </w:tcPr>
          <w:p w14:paraId="77F1ED1C" w14:textId="77777777" w:rsidR="00D03DF3" w:rsidRPr="006624D6" w:rsidRDefault="00D03DF3" w:rsidP="009520DB">
            <w:pPr>
              <w:rPr>
                <w:rFonts w:ascii="Arial" w:hAnsi="Arial" w:cs="Arial"/>
                <w:b/>
                <w:lang w:val="en-IE"/>
              </w:rPr>
            </w:pPr>
            <w:r w:rsidRPr="006624D6">
              <w:rPr>
                <w:rFonts w:ascii="Arial" w:hAnsi="Arial" w:cs="Arial"/>
                <w:b/>
                <w:lang w:val="en-IE"/>
              </w:rPr>
              <w:t>Human resources (FTE)</w:t>
            </w:r>
          </w:p>
        </w:tc>
        <w:tc>
          <w:tcPr>
            <w:tcW w:w="2388" w:type="dxa"/>
            <w:shd w:val="clear" w:color="auto" w:fill="EEECE1" w:themeFill="background2"/>
          </w:tcPr>
          <w:p w14:paraId="172255CB" w14:textId="77777777" w:rsidR="00D03DF3" w:rsidRPr="006624D6" w:rsidRDefault="00D03DF3" w:rsidP="009520DB">
            <w:pPr>
              <w:rPr>
                <w:rFonts w:ascii="Arial" w:hAnsi="Arial" w:cs="Arial"/>
                <w:b/>
                <w:lang w:val="en-IE"/>
              </w:rPr>
            </w:pPr>
          </w:p>
        </w:tc>
        <w:tc>
          <w:tcPr>
            <w:tcW w:w="1168" w:type="dxa"/>
            <w:shd w:val="clear" w:color="auto" w:fill="EEECE1" w:themeFill="background2"/>
          </w:tcPr>
          <w:p w14:paraId="1B4201B9" w14:textId="77777777" w:rsidR="00D03DF3" w:rsidRPr="006624D6" w:rsidRDefault="00D03DF3" w:rsidP="009520DB">
            <w:pPr>
              <w:jc w:val="center"/>
              <w:rPr>
                <w:rFonts w:ascii="Arial" w:hAnsi="Arial" w:cs="Arial"/>
                <w:b/>
                <w:lang w:val="en-IE"/>
              </w:rPr>
            </w:pPr>
            <w:r w:rsidRPr="006624D6">
              <w:rPr>
                <w:rFonts w:ascii="Arial" w:hAnsi="Arial" w:cs="Arial"/>
                <w:b/>
                <w:lang w:val="en-IE"/>
              </w:rPr>
              <w:t>Q1-Q4</w:t>
            </w:r>
          </w:p>
        </w:tc>
        <w:tc>
          <w:tcPr>
            <w:tcW w:w="2029" w:type="dxa"/>
            <w:shd w:val="clear" w:color="auto" w:fill="EEECE1" w:themeFill="background2"/>
          </w:tcPr>
          <w:p w14:paraId="4E48D9CB" w14:textId="77777777" w:rsidR="00D03DF3" w:rsidRPr="006624D6" w:rsidRDefault="00D03DF3" w:rsidP="009520DB">
            <w:pPr>
              <w:jc w:val="center"/>
              <w:rPr>
                <w:rFonts w:ascii="Arial" w:hAnsi="Arial" w:cs="Arial"/>
                <w:b/>
                <w:lang w:val="en-IE"/>
              </w:rPr>
            </w:pPr>
            <w:r w:rsidRPr="006624D6">
              <w:rPr>
                <w:rFonts w:ascii="Arial" w:hAnsi="Arial" w:cs="Arial"/>
                <w:b/>
                <w:lang w:val="en-IE"/>
              </w:rPr>
              <w:t>4-5</w:t>
            </w:r>
          </w:p>
        </w:tc>
      </w:tr>
    </w:tbl>
    <w:p w14:paraId="730FC993" w14:textId="381C1763" w:rsidR="0010281E" w:rsidRPr="00CD4F28" w:rsidRDefault="00B877BC" w:rsidP="00A73694">
      <w:pPr>
        <w:pStyle w:val="CommentText"/>
        <w:spacing w:line="276" w:lineRule="auto"/>
        <w:jc w:val="both"/>
        <w:rPr>
          <w:rFonts w:ascii="Arial" w:hAnsi="Arial" w:cs="Arial"/>
          <w:sz w:val="24"/>
          <w:szCs w:val="24"/>
          <w:lang w:val="en-IE"/>
        </w:rPr>
      </w:pPr>
      <w:r w:rsidRPr="00CD4F28">
        <w:rPr>
          <w:rFonts w:ascii="Arial" w:hAnsi="Arial" w:cs="Arial"/>
          <w:sz w:val="24"/>
          <w:szCs w:val="24"/>
          <w:lang w:val="en-IE"/>
        </w:rPr>
        <w:t xml:space="preserve"> </w:t>
      </w:r>
    </w:p>
    <w:p w14:paraId="783EC86A" w14:textId="1A3010D0" w:rsidR="0010281E" w:rsidRPr="00CD4F28" w:rsidRDefault="00DC7A1A" w:rsidP="00D03DF3">
      <w:pPr>
        <w:pStyle w:val="CommentText"/>
        <w:numPr>
          <w:ilvl w:val="2"/>
          <w:numId w:val="11"/>
        </w:numPr>
        <w:spacing w:line="276" w:lineRule="auto"/>
        <w:jc w:val="both"/>
        <w:rPr>
          <w:rFonts w:ascii="Arial" w:hAnsi="Arial" w:cs="Arial"/>
          <w:b/>
          <w:sz w:val="24"/>
          <w:szCs w:val="24"/>
          <w:lang w:val="en-IE"/>
        </w:rPr>
      </w:pPr>
      <w:r w:rsidRPr="00CD4F28">
        <w:rPr>
          <w:rFonts w:ascii="Arial" w:hAnsi="Arial" w:cs="Arial"/>
          <w:b/>
          <w:sz w:val="24"/>
          <w:szCs w:val="24"/>
          <w:lang w:val="en-IE"/>
        </w:rPr>
        <w:t>Preparatory work for the transition of the European Platform tackling undeclared work</w:t>
      </w:r>
    </w:p>
    <w:p w14:paraId="69B6B5F8" w14:textId="77777777" w:rsidR="009F5520" w:rsidRPr="00CD4F28" w:rsidRDefault="009F5520" w:rsidP="00A73694">
      <w:pPr>
        <w:pStyle w:val="CommentText"/>
        <w:spacing w:line="276" w:lineRule="auto"/>
        <w:ind w:left="360"/>
        <w:jc w:val="both"/>
        <w:rPr>
          <w:rFonts w:ascii="Arial" w:hAnsi="Arial" w:cs="Arial"/>
        </w:rPr>
      </w:pPr>
    </w:p>
    <w:p w14:paraId="0316C5AE" w14:textId="4CF5AF66" w:rsidR="00DC7A1A" w:rsidRPr="00CD4F28" w:rsidRDefault="009F5520" w:rsidP="00A73694">
      <w:pPr>
        <w:pStyle w:val="CommentText"/>
        <w:spacing w:line="276" w:lineRule="auto"/>
        <w:jc w:val="both"/>
        <w:rPr>
          <w:rFonts w:ascii="Arial" w:hAnsi="Arial" w:cs="Arial"/>
          <w:sz w:val="24"/>
        </w:rPr>
      </w:pPr>
      <w:r w:rsidRPr="00CD4F28">
        <w:rPr>
          <w:rFonts w:ascii="Arial" w:hAnsi="Arial" w:cs="Arial"/>
          <w:sz w:val="24"/>
        </w:rPr>
        <w:t xml:space="preserve">The Authority will </w:t>
      </w:r>
      <w:r w:rsidR="00DC7A1A" w:rsidRPr="00CD4F28">
        <w:rPr>
          <w:rFonts w:ascii="Arial" w:hAnsi="Arial" w:cs="Arial"/>
          <w:sz w:val="24"/>
        </w:rPr>
        <w:t>start</w:t>
      </w:r>
      <w:r w:rsidRPr="00CD4F28">
        <w:rPr>
          <w:rFonts w:ascii="Arial" w:hAnsi="Arial" w:cs="Arial"/>
          <w:sz w:val="24"/>
        </w:rPr>
        <w:t xml:space="preserve"> participat</w:t>
      </w:r>
      <w:r w:rsidR="00DC7A1A" w:rsidRPr="00CD4F28">
        <w:rPr>
          <w:rFonts w:ascii="Arial" w:hAnsi="Arial" w:cs="Arial"/>
          <w:sz w:val="24"/>
        </w:rPr>
        <w:t>ing</w:t>
      </w:r>
      <w:r w:rsidRPr="00CD4F28">
        <w:rPr>
          <w:rFonts w:ascii="Arial" w:hAnsi="Arial" w:cs="Arial"/>
          <w:sz w:val="24"/>
        </w:rPr>
        <w:t xml:space="preserve"> in the activities of the European Platform tackling undeclared work</w:t>
      </w:r>
      <w:r w:rsidR="00DC7A1A" w:rsidRPr="00CD4F28">
        <w:rPr>
          <w:rFonts w:ascii="Arial" w:hAnsi="Arial" w:cs="Arial"/>
          <w:sz w:val="24"/>
        </w:rPr>
        <w:t xml:space="preserve"> in a systematic manner</w:t>
      </w:r>
      <w:r w:rsidRPr="00CD4F28">
        <w:rPr>
          <w:rFonts w:ascii="Arial" w:hAnsi="Arial" w:cs="Arial"/>
          <w:sz w:val="24"/>
        </w:rPr>
        <w:t xml:space="preserve">. </w:t>
      </w:r>
    </w:p>
    <w:p w14:paraId="4BD7EEA4" w14:textId="77777777" w:rsidR="00DC7A1A" w:rsidRPr="00CD4F28" w:rsidRDefault="00DC7A1A" w:rsidP="00A73694">
      <w:pPr>
        <w:pStyle w:val="CommentText"/>
        <w:spacing w:line="276" w:lineRule="auto"/>
        <w:jc w:val="both"/>
        <w:rPr>
          <w:rFonts w:ascii="Arial" w:hAnsi="Arial" w:cs="Arial"/>
          <w:sz w:val="24"/>
        </w:rPr>
      </w:pPr>
    </w:p>
    <w:p w14:paraId="38C09E51" w14:textId="38F90932" w:rsidR="0010281E" w:rsidRPr="00CD4F28" w:rsidRDefault="009F5520" w:rsidP="00A73694">
      <w:pPr>
        <w:pStyle w:val="CommentText"/>
        <w:spacing w:line="276" w:lineRule="auto"/>
        <w:jc w:val="both"/>
        <w:rPr>
          <w:rFonts w:ascii="Arial" w:hAnsi="Arial" w:cs="Arial"/>
          <w:sz w:val="24"/>
        </w:rPr>
      </w:pPr>
      <w:r w:rsidRPr="00CD4F28">
        <w:rPr>
          <w:rFonts w:ascii="Arial" w:hAnsi="Arial" w:cs="Arial"/>
          <w:sz w:val="24"/>
        </w:rPr>
        <w:t xml:space="preserve">First, it will participate in the Platform’s working group </w:t>
      </w:r>
      <w:r w:rsidR="00182892" w:rsidRPr="00CD4F28">
        <w:rPr>
          <w:rFonts w:ascii="Arial" w:hAnsi="Arial" w:cs="Arial"/>
          <w:sz w:val="24"/>
        </w:rPr>
        <w:t>elaborating</w:t>
      </w:r>
      <w:r w:rsidRPr="00CD4F28">
        <w:rPr>
          <w:rFonts w:ascii="Arial" w:hAnsi="Arial" w:cs="Arial"/>
          <w:sz w:val="24"/>
        </w:rPr>
        <w:t xml:space="preserve"> the </w:t>
      </w:r>
      <w:r w:rsidR="00182892" w:rsidRPr="00CD4F28">
        <w:rPr>
          <w:rFonts w:ascii="Arial" w:hAnsi="Arial" w:cs="Arial"/>
          <w:sz w:val="24"/>
        </w:rPr>
        <w:t xml:space="preserve">draft </w:t>
      </w:r>
      <w:r w:rsidRPr="00CD4F28">
        <w:rPr>
          <w:rFonts w:ascii="Arial" w:hAnsi="Arial" w:cs="Arial"/>
          <w:sz w:val="24"/>
        </w:rPr>
        <w:t>work programme 2021-202</w:t>
      </w:r>
      <w:r w:rsidR="00182892" w:rsidRPr="00CD4F28">
        <w:rPr>
          <w:rFonts w:ascii="Arial" w:hAnsi="Arial" w:cs="Arial"/>
          <w:sz w:val="24"/>
        </w:rPr>
        <w:t>2</w:t>
      </w:r>
      <w:r w:rsidRPr="00CD4F28">
        <w:rPr>
          <w:rFonts w:ascii="Arial" w:hAnsi="Arial" w:cs="Arial"/>
          <w:sz w:val="24"/>
        </w:rPr>
        <w:t xml:space="preserve">. This will ensure coordination and coherence of the activities of the Authority and of the Platform, and give the possibility to </w:t>
      </w:r>
      <w:r w:rsidR="00182892" w:rsidRPr="00CD4F28">
        <w:rPr>
          <w:rFonts w:ascii="Arial" w:hAnsi="Arial" w:cs="Arial"/>
          <w:sz w:val="24"/>
        </w:rPr>
        <w:t>look into</w:t>
      </w:r>
      <w:r w:rsidRPr="00CD4F28">
        <w:rPr>
          <w:rFonts w:ascii="Arial" w:hAnsi="Arial" w:cs="Arial"/>
          <w:sz w:val="24"/>
        </w:rPr>
        <w:t xml:space="preserve"> the </w:t>
      </w:r>
      <w:r w:rsidR="00182892" w:rsidRPr="00CD4F28">
        <w:rPr>
          <w:rFonts w:ascii="Arial" w:hAnsi="Arial" w:cs="Arial"/>
          <w:sz w:val="24"/>
        </w:rPr>
        <w:t>practical aspects</w:t>
      </w:r>
      <w:r w:rsidRPr="00CD4F28">
        <w:rPr>
          <w:rFonts w:ascii="Arial" w:hAnsi="Arial" w:cs="Arial"/>
          <w:sz w:val="24"/>
        </w:rPr>
        <w:t xml:space="preserve"> of</w:t>
      </w:r>
      <w:r w:rsidR="00182892" w:rsidRPr="00CD4F28">
        <w:rPr>
          <w:rFonts w:ascii="Arial" w:hAnsi="Arial" w:cs="Arial"/>
          <w:sz w:val="24"/>
        </w:rPr>
        <w:t xml:space="preserve"> the</w:t>
      </w:r>
      <w:r w:rsidRPr="00CD4F28">
        <w:rPr>
          <w:rFonts w:ascii="Arial" w:hAnsi="Arial" w:cs="Arial"/>
          <w:sz w:val="24"/>
        </w:rPr>
        <w:t xml:space="preserve"> transfer of the Platform to the Authority. Second, it will accompany current Commission’s staff working on the Platform in the carrying out of </w:t>
      </w:r>
      <w:r w:rsidR="009A4D5D" w:rsidRPr="00CD4F28">
        <w:rPr>
          <w:rFonts w:ascii="Arial" w:hAnsi="Arial" w:cs="Arial"/>
          <w:sz w:val="24"/>
        </w:rPr>
        <w:t>key</w:t>
      </w:r>
      <w:r w:rsidRPr="00CD4F28">
        <w:rPr>
          <w:rFonts w:ascii="Arial" w:hAnsi="Arial" w:cs="Arial"/>
          <w:sz w:val="24"/>
        </w:rPr>
        <w:t xml:space="preserve"> activities foreseen for 2020, </w:t>
      </w:r>
      <w:r w:rsidR="00182892" w:rsidRPr="00CD4F28">
        <w:rPr>
          <w:rFonts w:ascii="Arial" w:hAnsi="Arial" w:cs="Arial"/>
          <w:sz w:val="24"/>
        </w:rPr>
        <w:t>such as plenary sessions, information seminars and</w:t>
      </w:r>
      <w:r w:rsidRPr="00CD4F28">
        <w:rPr>
          <w:rFonts w:ascii="Arial" w:hAnsi="Arial" w:cs="Arial"/>
          <w:sz w:val="24"/>
        </w:rPr>
        <w:t xml:space="preserve"> learning activities.</w:t>
      </w:r>
      <w:r w:rsidR="00182892" w:rsidRPr="00CD4F28">
        <w:rPr>
          <w:rFonts w:ascii="Arial" w:hAnsi="Arial" w:cs="Arial"/>
          <w:sz w:val="24"/>
        </w:rPr>
        <w:t xml:space="preserve"> Finally, the Authority will take part in the campaign on “Declared Work” organized by the Platform (see 2.4.2). </w:t>
      </w:r>
      <w:r w:rsidRPr="00CD4F28">
        <w:rPr>
          <w:rFonts w:ascii="Arial" w:hAnsi="Arial" w:cs="Arial"/>
          <w:sz w:val="24"/>
        </w:rPr>
        <w:t xml:space="preserve"> </w:t>
      </w:r>
    </w:p>
    <w:p w14:paraId="4D282A0F" w14:textId="77777777" w:rsidR="0010281E" w:rsidRPr="00CD4F28" w:rsidRDefault="0010281E" w:rsidP="00A73694">
      <w:pPr>
        <w:pStyle w:val="CommentText"/>
        <w:rPr>
          <w:rFonts w:ascii="Arial" w:hAnsi="Arial" w:cs="Arial"/>
        </w:rPr>
      </w:pPr>
    </w:p>
    <w:tbl>
      <w:tblPr>
        <w:tblStyle w:val="TableGrid"/>
        <w:tblW w:w="0" w:type="auto"/>
        <w:tblInd w:w="108" w:type="dxa"/>
        <w:tblLook w:val="04A0" w:firstRow="1" w:lastRow="0" w:firstColumn="1" w:lastColumn="0" w:noHBand="0" w:noVBand="1"/>
      </w:tblPr>
      <w:tblGrid>
        <w:gridCol w:w="3098"/>
        <w:gridCol w:w="2449"/>
        <w:gridCol w:w="1947"/>
        <w:gridCol w:w="1972"/>
      </w:tblGrid>
      <w:tr w:rsidR="00B877BC" w:rsidRPr="00CD4F28" w14:paraId="6F2887AD" w14:textId="77777777" w:rsidTr="0056195E">
        <w:tc>
          <w:tcPr>
            <w:tcW w:w="3098" w:type="dxa"/>
            <w:vAlign w:val="center"/>
          </w:tcPr>
          <w:p w14:paraId="0FBFB41D" w14:textId="77777777"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bookmarkStart w:id="36" w:name="_Toc23423363"/>
            <w:bookmarkStart w:id="37" w:name="_Toc23425466"/>
            <w:bookmarkEnd w:id="36"/>
            <w:bookmarkEnd w:id="37"/>
            <w:r w:rsidRPr="00CD4F28">
              <w:rPr>
                <w:rFonts w:ascii="Arial" w:hAnsi="Arial" w:cs="Arial"/>
                <w:b/>
                <w:sz w:val="22"/>
                <w:szCs w:val="24"/>
                <w:lang w:val="en-IE"/>
              </w:rPr>
              <w:t>Activities</w:t>
            </w:r>
          </w:p>
        </w:tc>
        <w:tc>
          <w:tcPr>
            <w:tcW w:w="2449" w:type="dxa"/>
            <w:vAlign w:val="center"/>
          </w:tcPr>
          <w:p w14:paraId="486D65AC" w14:textId="77777777"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Method</w:t>
            </w:r>
          </w:p>
        </w:tc>
        <w:tc>
          <w:tcPr>
            <w:tcW w:w="1947" w:type="dxa"/>
            <w:vAlign w:val="center"/>
          </w:tcPr>
          <w:p w14:paraId="27E2469C" w14:textId="77777777"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Time</w:t>
            </w:r>
          </w:p>
        </w:tc>
        <w:tc>
          <w:tcPr>
            <w:tcW w:w="1972" w:type="dxa"/>
            <w:vAlign w:val="center"/>
          </w:tcPr>
          <w:p w14:paraId="2EBBA152" w14:textId="77777777"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2020 Estimate</w:t>
            </w:r>
          </w:p>
        </w:tc>
      </w:tr>
      <w:tr w:rsidR="00B877BC" w:rsidRPr="00CD4F28" w14:paraId="025D6A9A" w14:textId="77777777" w:rsidTr="0056195E">
        <w:tc>
          <w:tcPr>
            <w:tcW w:w="3098" w:type="dxa"/>
            <w:vAlign w:val="center"/>
          </w:tcPr>
          <w:p w14:paraId="00E9DD3B" w14:textId="21FDAE6D" w:rsidR="00B877BC" w:rsidRPr="00CD4F28" w:rsidRDefault="00B877BC"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 xml:space="preserve">Preparatory works </w:t>
            </w:r>
          </w:p>
        </w:tc>
        <w:tc>
          <w:tcPr>
            <w:tcW w:w="2449" w:type="dxa"/>
            <w:vAlign w:val="center"/>
          </w:tcPr>
          <w:p w14:paraId="26D8CAC5" w14:textId="77777777" w:rsidR="00B877BC" w:rsidRPr="00CD4F28" w:rsidRDefault="00B877BC" w:rsidP="00A73694">
            <w:pPr>
              <w:pStyle w:val="BodyText"/>
              <w:tabs>
                <w:tab w:val="left" w:pos="0"/>
              </w:tabs>
              <w:spacing w:line="276" w:lineRule="auto"/>
              <w:ind w:right="283"/>
              <w:rPr>
                <w:rFonts w:ascii="Arial" w:hAnsi="Arial" w:cs="Arial"/>
                <w:sz w:val="22"/>
                <w:szCs w:val="24"/>
                <w:lang w:val="en-IE"/>
              </w:rPr>
            </w:pPr>
            <w:r w:rsidRPr="00CD4F28">
              <w:rPr>
                <w:rFonts w:ascii="Arial" w:hAnsi="Arial" w:cs="Arial"/>
                <w:sz w:val="22"/>
                <w:szCs w:val="24"/>
                <w:lang w:val="en-IE"/>
              </w:rPr>
              <w:t>Contract for services</w:t>
            </w:r>
          </w:p>
        </w:tc>
        <w:tc>
          <w:tcPr>
            <w:tcW w:w="1947" w:type="dxa"/>
            <w:vAlign w:val="center"/>
          </w:tcPr>
          <w:p w14:paraId="65E7B318" w14:textId="77777777" w:rsidR="00B877BC" w:rsidRPr="00CD4F28" w:rsidRDefault="00B877BC" w:rsidP="00A73694">
            <w:pPr>
              <w:pStyle w:val="BodyText"/>
              <w:tabs>
                <w:tab w:val="left" w:pos="0"/>
              </w:tabs>
              <w:spacing w:line="276" w:lineRule="auto"/>
              <w:ind w:right="283"/>
              <w:jc w:val="center"/>
              <w:rPr>
                <w:rFonts w:ascii="Arial" w:hAnsi="Arial" w:cs="Arial"/>
                <w:sz w:val="22"/>
                <w:szCs w:val="24"/>
                <w:lang w:val="en-IE"/>
              </w:rPr>
            </w:pPr>
            <w:r w:rsidRPr="00CD4F28">
              <w:rPr>
                <w:rFonts w:ascii="Arial" w:hAnsi="Arial" w:cs="Arial"/>
                <w:sz w:val="22"/>
                <w:szCs w:val="24"/>
                <w:lang w:val="en-IE"/>
              </w:rPr>
              <w:t>Q3 - Q4</w:t>
            </w:r>
          </w:p>
        </w:tc>
        <w:tc>
          <w:tcPr>
            <w:tcW w:w="1972" w:type="dxa"/>
            <w:vAlign w:val="center"/>
          </w:tcPr>
          <w:p w14:paraId="04CE88A9" w14:textId="77777777" w:rsidR="00B877BC" w:rsidRPr="00CD4F28" w:rsidRDefault="00B877BC" w:rsidP="00A73694">
            <w:pPr>
              <w:pStyle w:val="BodyText"/>
              <w:tabs>
                <w:tab w:val="left" w:pos="0"/>
              </w:tabs>
              <w:spacing w:line="276" w:lineRule="auto"/>
              <w:ind w:right="283"/>
              <w:jc w:val="right"/>
              <w:rPr>
                <w:rFonts w:ascii="Arial" w:hAnsi="Arial" w:cs="Arial"/>
                <w:sz w:val="22"/>
                <w:szCs w:val="24"/>
                <w:lang w:val="en-IE"/>
              </w:rPr>
            </w:pPr>
            <w:r w:rsidRPr="00CD4F28">
              <w:rPr>
                <w:rFonts w:ascii="Arial" w:hAnsi="Arial" w:cs="Arial"/>
                <w:sz w:val="22"/>
                <w:szCs w:val="24"/>
                <w:lang w:val="en-IE"/>
              </w:rPr>
              <w:t>75 000</w:t>
            </w:r>
          </w:p>
        </w:tc>
      </w:tr>
      <w:tr w:rsidR="00B877BC" w:rsidRPr="00CD4F28" w14:paraId="4585744C" w14:textId="77777777" w:rsidTr="0056195E">
        <w:tc>
          <w:tcPr>
            <w:tcW w:w="3098" w:type="dxa"/>
            <w:shd w:val="clear" w:color="auto" w:fill="EEECE1" w:themeFill="background2"/>
          </w:tcPr>
          <w:p w14:paraId="54CF5A0E" w14:textId="77777777" w:rsidR="00B877BC" w:rsidRPr="00CD4F28" w:rsidRDefault="00B877BC"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Total</w:t>
            </w:r>
          </w:p>
        </w:tc>
        <w:tc>
          <w:tcPr>
            <w:tcW w:w="2449" w:type="dxa"/>
            <w:shd w:val="clear" w:color="auto" w:fill="EEECE1" w:themeFill="background2"/>
          </w:tcPr>
          <w:p w14:paraId="31BEA933" w14:textId="77777777" w:rsidR="00B877BC" w:rsidRPr="00CD4F28" w:rsidRDefault="00B877BC" w:rsidP="00A73694">
            <w:pPr>
              <w:pStyle w:val="BodyText"/>
              <w:tabs>
                <w:tab w:val="left" w:pos="0"/>
              </w:tabs>
              <w:spacing w:line="276" w:lineRule="auto"/>
              <w:ind w:right="283"/>
              <w:rPr>
                <w:rFonts w:ascii="Arial" w:hAnsi="Arial" w:cs="Arial"/>
                <w:sz w:val="22"/>
                <w:szCs w:val="24"/>
                <w:lang w:val="en-IE"/>
              </w:rPr>
            </w:pPr>
          </w:p>
        </w:tc>
        <w:tc>
          <w:tcPr>
            <w:tcW w:w="1947" w:type="dxa"/>
            <w:shd w:val="clear" w:color="auto" w:fill="EEECE1" w:themeFill="background2"/>
          </w:tcPr>
          <w:p w14:paraId="7A6DD966" w14:textId="77777777" w:rsidR="00B877BC" w:rsidRPr="00CD4F28" w:rsidRDefault="00B877BC" w:rsidP="00A73694">
            <w:pPr>
              <w:pStyle w:val="BodyText"/>
              <w:tabs>
                <w:tab w:val="left" w:pos="0"/>
              </w:tabs>
              <w:spacing w:line="276" w:lineRule="auto"/>
              <w:ind w:right="283"/>
              <w:jc w:val="center"/>
              <w:rPr>
                <w:rFonts w:ascii="Arial" w:hAnsi="Arial" w:cs="Arial"/>
                <w:sz w:val="22"/>
                <w:szCs w:val="24"/>
                <w:lang w:val="en-IE"/>
              </w:rPr>
            </w:pPr>
          </w:p>
        </w:tc>
        <w:tc>
          <w:tcPr>
            <w:tcW w:w="1972" w:type="dxa"/>
            <w:shd w:val="clear" w:color="auto" w:fill="EEECE1" w:themeFill="background2"/>
          </w:tcPr>
          <w:p w14:paraId="633A1005" w14:textId="77777777" w:rsidR="00B877BC" w:rsidRPr="00CD4F28" w:rsidRDefault="00B877BC" w:rsidP="00A73694">
            <w:pPr>
              <w:pStyle w:val="BodyText"/>
              <w:tabs>
                <w:tab w:val="left" w:pos="0"/>
              </w:tabs>
              <w:spacing w:line="276" w:lineRule="auto"/>
              <w:ind w:right="283"/>
              <w:jc w:val="right"/>
              <w:rPr>
                <w:rFonts w:ascii="Arial" w:hAnsi="Arial" w:cs="Arial"/>
                <w:b/>
                <w:sz w:val="22"/>
                <w:szCs w:val="24"/>
                <w:lang w:val="en-IE"/>
              </w:rPr>
            </w:pPr>
            <w:r w:rsidRPr="00CD4F28">
              <w:rPr>
                <w:rFonts w:ascii="Arial" w:hAnsi="Arial" w:cs="Arial"/>
                <w:b/>
                <w:sz w:val="22"/>
                <w:szCs w:val="24"/>
                <w:lang w:val="en-IE"/>
              </w:rPr>
              <w:t>75 000</w:t>
            </w:r>
          </w:p>
        </w:tc>
      </w:tr>
      <w:tr w:rsidR="00B877BC" w:rsidRPr="00CD4F28" w14:paraId="545F4240" w14:textId="77777777" w:rsidTr="0056195E">
        <w:tc>
          <w:tcPr>
            <w:tcW w:w="3098" w:type="dxa"/>
            <w:shd w:val="clear" w:color="auto" w:fill="EEECE1" w:themeFill="background2"/>
          </w:tcPr>
          <w:p w14:paraId="2BCB5157" w14:textId="77777777" w:rsidR="00B877BC" w:rsidRPr="00CD4F28" w:rsidRDefault="00B877BC" w:rsidP="00A73694">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Human Resources (FTE)</w:t>
            </w:r>
          </w:p>
        </w:tc>
        <w:tc>
          <w:tcPr>
            <w:tcW w:w="2449" w:type="dxa"/>
            <w:shd w:val="clear" w:color="auto" w:fill="EEECE1" w:themeFill="background2"/>
          </w:tcPr>
          <w:p w14:paraId="31FC4641" w14:textId="77777777" w:rsidR="00B877BC" w:rsidRPr="00CD4F28" w:rsidRDefault="00B877BC" w:rsidP="00A73694">
            <w:pPr>
              <w:pStyle w:val="BodyText"/>
              <w:tabs>
                <w:tab w:val="left" w:pos="0"/>
              </w:tabs>
              <w:spacing w:line="276" w:lineRule="auto"/>
              <w:ind w:right="283"/>
              <w:rPr>
                <w:rFonts w:ascii="Arial" w:hAnsi="Arial" w:cs="Arial"/>
                <w:b/>
                <w:sz w:val="22"/>
                <w:szCs w:val="24"/>
                <w:lang w:val="en-IE"/>
              </w:rPr>
            </w:pPr>
          </w:p>
        </w:tc>
        <w:tc>
          <w:tcPr>
            <w:tcW w:w="1947" w:type="dxa"/>
            <w:shd w:val="clear" w:color="auto" w:fill="EEECE1" w:themeFill="background2"/>
          </w:tcPr>
          <w:p w14:paraId="362008AD" w14:textId="77777777" w:rsidR="00B877BC" w:rsidRPr="00CD4F28" w:rsidRDefault="00B877BC" w:rsidP="00A73694">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Q1 – Q4</w:t>
            </w:r>
          </w:p>
        </w:tc>
        <w:tc>
          <w:tcPr>
            <w:tcW w:w="1972" w:type="dxa"/>
            <w:shd w:val="clear" w:color="auto" w:fill="EEECE1" w:themeFill="background2"/>
          </w:tcPr>
          <w:p w14:paraId="05F99F41" w14:textId="77777777" w:rsidR="00B877BC" w:rsidRPr="00CD4F28" w:rsidRDefault="00B877BC" w:rsidP="00A73694">
            <w:pPr>
              <w:pStyle w:val="BodyText"/>
              <w:tabs>
                <w:tab w:val="left" w:pos="0"/>
              </w:tabs>
              <w:spacing w:line="276" w:lineRule="auto"/>
              <w:ind w:right="283"/>
              <w:jc w:val="right"/>
              <w:rPr>
                <w:rFonts w:ascii="Arial" w:hAnsi="Arial" w:cs="Arial"/>
                <w:b/>
                <w:sz w:val="22"/>
                <w:szCs w:val="24"/>
                <w:lang w:val="en-IE"/>
              </w:rPr>
            </w:pPr>
            <w:r w:rsidRPr="00CD4F28">
              <w:rPr>
                <w:rFonts w:ascii="Arial" w:hAnsi="Arial" w:cs="Arial"/>
                <w:b/>
                <w:sz w:val="22"/>
                <w:szCs w:val="24"/>
                <w:lang w:val="en-IE"/>
              </w:rPr>
              <w:t>1 - 2</w:t>
            </w:r>
          </w:p>
        </w:tc>
      </w:tr>
    </w:tbl>
    <w:p w14:paraId="1E9160F4" w14:textId="77777777" w:rsidR="004F3AB6" w:rsidRPr="00CD4F28" w:rsidRDefault="004F3AB6" w:rsidP="00A73694">
      <w:pPr>
        <w:rPr>
          <w:rFonts w:ascii="Arial" w:hAnsi="Arial" w:cs="Arial"/>
          <w:b/>
          <w:sz w:val="24"/>
          <w:szCs w:val="24"/>
          <w:lang w:val="en-IE" w:bidi="ar-SA"/>
        </w:rPr>
      </w:pPr>
    </w:p>
    <w:p w14:paraId="1DC8C3A5" w14:textId="43938ED7" w:rsidR="006413F6" w:rsidRDefault="006413F6" w:rsidP="00A73694">
      <w:pPr>
        <w:jc w:val="both"/>
        <w:rPr>
          <w:rFonts w:ascii="Arial" w:hAnsi="Arial" w:cs="Arial"/>
          <w:b/>
          <w:sz w:val="24"/>
          <w:szCs w:val="24"/>
        </w:rPr>
      </w:pPr>
    </w:p>
    <w:p w14:paraId="0EDBA94C" w14:textId="77777777" w:rsidR="00120CC6" w:rsidRPr="00BA5D2F" w:rsidRDefault="00120CC6" w:rsidP="00BA5D2F">
      <w:pPr>
        <w:pStyle w:val="Heading1"/>
        <w:tabs>
          <w:tab w:val="clear" w:pos="0"/>
          <w:tab w:val="left" w:pos="426"/>
        </w:tabs>
        <w:ind w:left="426" w:right="286" w:hanging="426"/>
        <w:jc w:val="both"/>
      </w:pPr>
    </w:p>
    <w:p w14:paraId="49CD44A4" w14:textId="2CA4008A" w:rsidR="006413F6" w:rsidRPr="00CD4F28" w:rsidRDefault="00BA5D2F" w:rsidP="00BA5D2F">
      <w:pPr>
        <w:pStyle w:val="Heading1"/>
        <w:tabs>
          <w:tab w:val="clear" w:pos="0"/>
          <w:tab w:val="left" w:pos="426"/>
        </w:tabs>
        <w:ind w:left="426" w:right="286" w:hanging="426"/>
        <w:jc w:val="both"/>
      </w:pPr>
      <w:bookmarkStart w:id="38" w:name="_Toc40092198"/>
      <w:r>
        <w:t>2.</w:t>
      </w:r>
      <w:r w:rsidR="000C0533">
        <w:t>8</w:t>
      </w:r>
      <w:r>
        <w:t xml:space="preserve"> </w:t>
      </w:r>
      <w:r w:rsidR="002B7CF9" w:rsidRPr="00CD4F28">
        <w:t>Preparatory works for integration of existing bodies</w:t>
      </w:r>
      <w:bookmarkEnd w:id="38"/>
    </w:p>
    <w:p w14:paraId="62CF363F" w14:textId="77777777" w:rsidR="006413F6" w:rsidRPr="00CD4F28" w:rsidRDefault="006413F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The European Labour Authority</w:t>
      </w:r>
      <w:r w:rsidRPr="00CD4F28" w:rsidDel="000823F8">
        <w:rPr>
          <w:rFonts w:ascii="Arial" w:eastAsia="Times New Roman" w:hAnsi="Arial" w:cs="Arial"/>
          <w:sz w:val="24"/>
          <w:szCs w:val="24"/>
          <w:lang w:val="en-IE"/>
        </w:rPr>
        <w:t xml:space="preserve"> </w:t>
      </w:r>
      <w:r w:rsidRPr="00CD4F28">
        <w:rPr>
          <w:rFonts w:ascii="Arial" w:eastAsia="Times New Roman" w:hAnsi="Arial" w:cs="Arial"/>
          <w:sz w:val="24"/>
          <w:szCs w:val="24"/>
          <w:lang w:val="en-IE"/>
        </w:rPr>
        <w:t>aims to simplify the current institutional setup in the field labour mobility and social security coordination by pooling operational tasks that are currently dispersed across different EU bodies into a permanent structure that provides a strengthened forum for cooperation and joint investigative activities.</w:t>
      </w:r>
    </w:p>
    <w:p w14:paraId="4260F397" w14:textId="77777777" w:rsidR="006413F6" w:rsidRPr="00CD4F28" w:rsidRDefault="006413F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1C6DC67E" w14:textId="3208A205" w:rsidR="006413F6" w:rsidRPr="00CD4F28" w:rsidRDefault="006413F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By doing so, the Authority will </w:t>
      </w:r>
      <w:r w:rsidR="002B7CF9" w:rsidRPr="00CD4F28">
        <w:rPr>
          <w:rFonts w:ascii="Arial" w:eastAsia="Times New Roman" w:hAnsi="Arial" w:cs="Arial"/>
          <w:sz w:val="24"/>
          <w:szCs w:val="24"/>
          <w:lang w:val="en-IE"/>
        </w:rPr>
        <w:t>incorporate</w:t>
      </w:r>
      <w:r w:rsidRPr="00CD4F28">
        <w:rPr>
          <w:rFonts w:ascii="Arial" w:eastAsia="Times New Roman" w:hAnsi="Arial" w:cs="Arial"/>
          <w:sz w:val="24"/>
          <w:szCs w:val="24"/>
          <w:lang w:val="en-IE"/>
        </w:rPr>
        <w:t xml:space="preserve"> over the course of 2020 and 2021 </w:t>
      </w:r>
      <w:r w:rsidR="002B7CF9" w:rsidRPr="00CD4F28">
        <w:rPr>
          <w:rFonts w:ascii="Arial" w:eastAsia="Times New Roman" w:hAnsi="Arial" w:cs="Arial"/>
          <w:sz w:val="24"/>
          <w:szCs w:val="24"/>
          <w:lang w:val="en-IE"/>
        </w:rPr>
        <w:t>two</w:t>
      </w:r>
      <w:r w:rsidRPr="00CD4F28">
        <w:rPr>
          <w:rFonts w:ascii="Arial" w:eastAsia="Times New Roman" w:hAnsi="Arial" w:cs="Arial"/>
          <w:sz w:val="24"/>
          <w:szCs w:val="24"/>
          <w:lang w:val="en-IE"/>
        </w:rPr>
        <w:t xml:space="preserve"> existing EU bodies: </w:t>
      </w:r>
    </w:p>
    <w:p w14:paraId="3A64930F" w14:textId="77777777" w:rsidR="006413F6" w:rsidRPr="00CD4F28" w:rsidRDefault="006413F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eastAsia="Times New Roman" w:hAnsi="Arial" w:cs="Arial"/>
          <w:sz w:val="24"/>
          <w:szCs w:val="24"/>
          <w:lang w:val="en-IE"/>
        </w:rPr>
        <w:t>the Technical Committee on the Free Movement of Workers;</w:t>
      </w:r>
    </w:p>
    <w:p w14:paraId="3F6A84A2" w14:textId="77777777" w:rsidR="006413F6" w:rsidRPr="00CD4F28" w:rsidRDefault="006413F6"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eastAsia="Times New Roman" w:hAnsi="Arial" w:cs="Arial"/>
          <w:sz w:val="24"/>
          <w:szCs w:val="24"/>
          <w:lang w:val="en-IE"/>
        </w:rPr>
        <w:t>the Committee of Experts on Posting of Workers;</w:t>
      </w:r>
    </w:p>
    <w:p w14:paraId="387D480C" w14:textId="6DD67195" w:rsidR="000365BB" w:rsidRPr="00CD4F28" w:rsidRDefault="000365BB"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In 2020, the Authority will closely cooperate with the Commission services currently supervising the work of these bodies. </w:t>
      </w:r>
    </w:p>
    <w:p w14:paraId="4E72E150" w14:textId="0FBEC725" w:rsidR="002B7CF9" w:rsidRPr="00CD4F28" w:rsidRDefault="002B7CF9" w:rsidP="00BA5D2F">
      <w:pPr>
        <w:pStyle w:val="Heading1"/>
        <w:tabs>
          <w:tab w:val="clear" w:pos="0"/>
          <w:tab w:val="left" w:pos="426"/>
        </w:tabs>
        <w:ind w:left="426" w:right="286" w:hanging="426"/>
        <w:jc w:val="both"/>
      </w:pPr>
      <w:r w:rsidRPr="00CD4F28">
        <w:t xml:space="preserve"> </w:t>
      </w:r>
      <w:bookmarkStart w:id="39" w:name="_Toc40092199"/>
      <w:r w:rsidR="000C0533">
        <w:t>2.9</w:t>
      </w:r>
      <w:r w:rsidR="00BA5D2F">
        <w:t xml:space="preserve"> </w:t>
      </w:r>
      <w:r w:rsidRPr="00CD4F28">
        <w:t>Cooperation with other bodies</w:t>
      </w:r>
      <w:bookmarkEnd w:id="39"/>
    </w:p>
    <w:p w14:paraId="3BC3B8E2" w14:textId="54FD9CA8" w:rsidR="006413F6" w:rsidRDefault="006413F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The Authority will </w:t>
      </w:r>
      <w:r w:rsidR="000365BB" w:rsidRPr="00CD4F28">
        <w:rPr>
          <w:rFonts w:ascii="Arial" w:eastAsia="Times New Roman" w:hAnsi="Arial" w:cs="Arial"/>
          <w:sz w:val="24"/>
          <w:szCs w:val="24"/>
          <w:lang w:val="en-IE"/>
        </w:rPr>
        <w:t>also</w:t>
      </w:r>
      <w:r w:rsidRPr="00CD4F28">
        <w:rPr>
          <w:rFonts w:ascii="Arial" w:eastAsia="Times New Roman" w:hAnsi="Arial" w:cs="Arial"/>
          <w:sz w:val="24"/>
          <w:szCs w:val="24"/>
          <w:lang w:val="en-IE"/>
        </w:rPr>
        <w:t xml:space="preserve"> cooperate closely with EU bodies that continue to operate under their current setup, such as the Administrative Commission for the Coordination of Social Security Systems, the Advisory Committee for the Coordination of Social Security Systems, and the Advisory Committee on the Free Movement of Workers, in order to ensure complementarity in their work. This streamlining of the institutional landscape </w:t>
      </w:r>
      <w:r w:rsidR="002B7CF9" w:rsidRPr="00CD4F28">
        <w:rPr>
          <w:rFonts w:ascii="Arial" w:eastAsia="Times New Roman" w:hAnsi="Arial" w:cs="Arial"/>
          <w:sz w:val="24"/>
          <w:szCs w:val="24"/>
          <w:lang w:val="en-IE"/>
        </w:rPr>
        <w:t>should</w:t>
      </w:r>
      <w:r w:rsidRPr="00CD4F28">
        <w:rPr>
          <w:rFonts w:ascii="Arial" w:eastAsia="Times New Roman" w:hAnsi="Arial" w:cs="Arial"/>
          <w:sz w:val="24"/>
          <w:szCs w:val="24"/>
          <w:lang w:val="en-IE"/>
        </w:rPr>
        <w:t xml:space="preserve"> create valuable synergies and eliminate duplications, thereby improving the quality of discussions and policy outcomes.</w:t>
      </w:r>
    </w:p>
    <w:p w14:paraId="6C0132FA" w14:textId="3836440F" w:rsidR="00E54D2B" w:rsidRPr="00BA5D2F" w:rsidRDefault="000C0533" w:rsidP="00BA5D2F">
      <w:pPr>
        <w:pStyle w:val="Heading1"/>
        <w:tabs>
          <w:tab w:val="clear" w:pos="0"/>
          <w:tab w:val="left" w:pos="426"/>
        </w:tabs>
        <w:ind w:left="426" w:right="286" w:hanging="426"/>
        <w:jc w:val="both"/>
      </w:pPr>
      <w:bookmarkStart w:id="40" w:name="_Toc40092200"/>
      <w:r>
        <w:t>2.10</w:t>
      </w:r>
      <w:r w:rsidR="00BA5D2F">
        <w:t xml:space="preserve"> </w:t>
      </w:r>
      <w:r w:rsidR="00E54D2B">
        <w:t>Communication and d</w:t>
      </w:r>
      <w:r w:rsidR="00E54D2B" w:rsidRPr="00CD4F28">
        <w:t>issemination</w:t>
      </w:r>
      <w:r w:rsidR="00E54D2B">
        <w:t xml:space="preserve"> activities</w:t>
      </w:r>
      <w:r w:rsidR="00E54D2B" w:rsidRPr="00BA5D2F">
        <w:rPr>
          <w:vertAlign w:val="superscript"/>
        </w:rPr>
        <w:footnoteReference w:id="7"/>
      </w:r>
      <w:bookmarkEnd w:id="40"/>
      <w:r w:rsidR="00E54D2B" w:rsidRPr="00CD4F28">
        <w:t xml:space="preserve"> </w:t>
      </w:r>
    </w:p>
    <w:p w14:paraId="050D9E41" w14:textId="77777777" w:rsidR="00E54D2B" w:rsidRPr="00CD4F28" w:rsidRDefault="00E54D2B" w:rsidP="00E54D2B">
      <w:pPr>
        <w:pStyle w:val="ListParagraph"/>
        <w:spacing w:line="276" w:lineRule="auto"/>
        <w:ind w:left="525"/>
        <w:jc w:val="both"/>
        <w:rPr>
          <w:rFonts w:ascii="Arial" w:hAnsi="Arial" w:cs="Arial"/>
          <w:sz w:val="24"/>
          <w:szCs w:val="24"/>
          <w:lang w:val="en-IE" w:bidi="ar-SA"/>
        </w:rPr>
      </w:pPr>
    </w:p>
    <w:p w14:paraId="767CD9C9" w14:textId="77777777" w:rsidR="00E54D2B" w:rsidRPr="00CD4F28" w:rsidRDefault="00E54D2B" w:rsidP="00E54D2B">
      <w:pPr>
        <w:pStyle w:val="paragraph"/>
        <w:spacing w:before="0" w:beforeAutospacing="0" w:after="0" w:afterAutospacing="0" w:line="276" w:lineRule="auto"/>
        <w:ind w:right="2"/>
        <w:jc w:val="both"/>
        <w:textAlignment w:val="baseline"/>
        <w:rPr>
          <w:rFonts w:ascii="Arial" w:eastAsia="Myriad Pro" w:hAnsi="Arial" w:cs="Arial"/>
        </w:rPr>
      </w:pPr>
      <w:r w:rsidRPr="00CD4F28">
        <w:rPr>
          <w:rFonts w:ascii="Arial" w:hAnsi="Arial" w:cs="Arial"/>
          <w:lang w:val="en-IE"/>
        </w:rPr>
        <w:t xml:space="preserve">As a newly established EU body, the European Labour Authority is not yet widely known to the public. With a growing number of Europeans living and working in a different Member State than their own, there is undoubtedly interest from citizens in learning </w:t>
      </w:r>
      <w:r w:rsidRPr="00CD4F28">
        <w:rPr>
          <w:rFonts w:ascii="Arial" w:hAnsi="Arial" w:cs="Arial"/>
          <w:lang w:val="en-IE"/>
        </w:rPr>
        <w:lastRenderedPageBreak/>
        <w:t>more about the Authority and its activities</w:t>
      </w:r>
      <w:r w:rsidRPr="00CD4F28">
        <w:rPr>
          <w:rStyle w:val="normaltextrun"/>
          <w:rFonts w:ascii="Arial" w:hAnsi="Arial" w:cs="Arial"/>
        </w:rPr>
        <w:t>.</w:t>
      </w:r>
      <w:r w:rsidRPr="00CD4F28">
        <w:rPr>
          <w:rStyle w:val="scxw138160177"/>
          <w:rFonts w:ascii="Arial" w:hAnsi="Arial" w:cs="Arial"/>
          <w:vertAlign w:val="superscript"/>
        </w:rPr>
        <w:t xml:space="preserve">  </w:t>
      </w:r>
      <w:r w:rsidRPr="00CD4F28">
        <w:rPr>
          <w:rFonts w:ascii="Arial" w:hAnsi="Arial" w:cs="Arial"/>
          <w:lang w:val="en-IE"/>
        </w:rPr>
        <w:t>In 2020, the Authority will improve its online presence and visibility.</w:t>
      </w:r>
    </w:p>
    <w:p w14:paraId="2EBBDA5F" w14:textId="77777777" w:rsidR="00E54D2B" w:rsidRPr="00CD4F28" w:rsidRDefault="00E54D2B" w:rsidP="00E54D2B">
      <w:pPr>
        <w:pStyle w:val="ListParagraph"/>
        <w:spacing w:line="276" w:lineRule="auto"/>
        <w:ind w:left="525"/>
        <w:jc w:val="both"/>
        <w:rPr>
          <w:rFonts w:ascii="Arial" w:hAnsi="Arial" w:cs="Arial"/>
          <w:sz w:val="24"/>
          <w:szCs w:val="24"/>
          <w:lang w:val="en-IE" w:bidi="ar-SA"/>
        </w:rPr>
      </w:pPr>
    </w:p>
    <w:p w14:paraId="77B54D25" w14:textId="1EFB7B5E" w:rsidR="00E54D2B" w:rsidRDefault="00E54D2B" w:rsidP="00E54D2B">
      <w:pPr>
        <w:spacing w:line="276" w:lineRule="auto"/>
        <w:jc w:val="both"/>
        <w:rPr>
          <w:rFonts w:ascii="Arial" w:hAnsi="Arial" w:cs="Arial"/>
          <w:sz w:val="24"/>
          <w:szCs w:val="24"/>
          <w:lang w:val="en-IE" w:bidi="ar-SA"/>
        </w:rPr>
      </w:pPr>
      <w:r w:rsidRPr="00CD4F28">
        <w:rPr>
          <w:rFonts w:ascii="Arial" w:hAnsi="Arial" w:cs="Arial"/>
          <w:sz w:val="24"/>
          <w:szCs w:val="24"/>
          <w:lang w:val="en-IE" w:bidi="ar-SA"/>
        </w:rPr>
        <w:t xml:space="preserve">The development of the European Labour Authority communication and dissemination plans has started in 2019. This work should be finalised in 2020 and the communication and dissemination plans should move to the implementation phase. These strategic documents will set out overall communication goals, objectives and strategies and work as a roadmap for communication for the Authority. </w:t>
      </w:r>
    </w:p>
    <w:p w14:paraId="30B87E52" w14:textId="77777777" w:rsidR="00E54D2B" w:rsidRDefault="00E54D2B" w:rsidP="00E54D2B">
      <w:pPr>
        <w:spacing w:line="276" w:lineRule="auto"/>
        <w:jc w:val="both"/>
        <w:rPr>
          <w:rFonts w:ascii="Arial" w:hAnsi="Arial" w:cs="Arial"/>
          <w:sz w:val="24"/>
          <w:szCs w:val="24"/>
          <w:lang w:val="en-IE" w:bidi="ar-SA"/>
        </w:rPr>
      </w:pPr>
    </w:p>
    <w:p w14:paraId="27C0B6D8" w14:textId="58AA21FA" w:rsidR="00AD77AC" w:rsidRPr="00AD77AC" w:rsidRDefault="00AD77AC" w:rsidP="00E54D2B">
      <w:pPr>
        <w:spacing w:line="276" w:lineRule="auto"/>
        <w:jc w:val="both"/>
        <w:rPr>
          <w:rFonts w:ascii="Arial" w:hAnsi="Arial" w:cs="Arial"/>
          <w:sz w:val="24"/>
          <w:szCs w:val="24"/>
          <w:lang w:val="en-IE" w:bidi="ar-SA"/>
        </w:rPr>
      </w:pPr>
      <w:r w:rsidRPr="00AD77AC">
        <w:rPr>
          <w:rFonts w:ascii="Arial" w:hAnsi="Arial" w:cs="Arial"/>
          <w:sz w:val="24"/>
          <w:szCs w:val="24"/>
          <w:lang w:val="en-IE" w:bidi="ar-SA"/>
        </w:rPr>
        <w:t>A conference about the first year of activity of ELA will take part in the second half of 2020</w:t>
      </w:r>
      <w:r>
        <w:rPr>
          <w:rFonts w:ascii="Arial" w:hAnsi="Arial" w:cs="Arial"/>
          <w:sz w:val="24"/>
          <w:szCs w:val="24"/>
          <w:lang w:val="en-IE" w:bidi="ar-SA"/>
        </w:rPr>
        <w:t xml:space="preserve"> and</w:t>
      </w:r>
      <w:r w:rsidRPr="00AD77AC">
        <w:rPr>
          <w:rFonts w:ascii="Arial" w:hAnsi="Arial" w:cs="Arial"/>
          <w:sz w:val="24"/>
          <w:szCs w:val="24"/>
          <w:lang w:val="en-IE" w:bidi="ar-SA"/>
        </w:rPr>
        <w:t xml:space="preserve"> will be an opportunity to take stock o</w:t>
      </w:r>
      <w:r>
        <w:rPr>
          <w:rFonts w:ascii="Arial" w:hAnsi="Arial" w:cs="Arial"/>
          <w:sz w:val="24"/>
          <w:szCs w:val="24"/>
          <w:lang w:val="en-IE" w:bidi="ar-SA"/>
        </w:rPr>
        <w:t>f the achievements so far and challenges ahead. This will also be an opportunity to communicate about ELA to a wider public.</w:t>
      </w:r>
    </w:p>
    <w:p w14:paraId="015D6E18" w14:textId="77777777" w:rsidR="00E54D2B" w:rsidRPr="00CD4F28" w:rsidRDefault="00E54D2B" w:rsidP="00E54D2B">
      <w:pPr>
        <w:spacing w:line="276" w:lineRule="auto"/>
        <w:jc w:val="both"/>
        <w:rPr>
          <w:rFonts w:ascii="Arial" w:hAnsi="Arial" w:cs="Arial"/>
          <w:sz w:val="24"/>
          <w:szCs w:val="24"/>
          <w:lang w:val="en-IE" w:bidi="ar-SA"/>
        </w:rPr>
      </w:pPr>
    </w:p>
    <w:p w14:paraId="785546B0" w14:textId="77777777" w:rsidR="00E54D2B" w:rsidRPr="00CD4F28" w:rsidRDefault="00E54D2B" w:rsidP="00E54D2B">
      <w:pPr>
        <w:spacing w:line="276" w:lineRule="auto"/>
        <w:jc w:val="both"/>
        <w:rPr>
          <w:rFonts w:ascii="Arial" w:hAnsi="Arial" w:cs="Arial"/>
          <w:sz w:val="24"/>
          <w:szCs w:val="24"/>
          <w:lang w:val="en-IE"/>
        </w:rPr>
      </w:pPr>
    </w:p>
    <w:tbl>
      <w:tblPr>
        <w:tblStyle w:val="TableGrid"/>
        <w:tblW w:w="0" w:type="auto"/>
        <w:tblInd w:w="283" w:type="dxa"/>
        <w:tblLook w:val="04A0" w:firstRow="1" w:lastRow="0" w:firstColumn="1" w:lastColumn="0" w:noHBand="0" w:noVBand="1"/>
      </w:tblPr>
      <w:tblGrid>
        <w:gridCol w:w="2979"/>
        <w:gridCol w:w="1661"/>
        <w:gridCol w:w="1499"/>
        <w:gridCol w:w="1368"/>
        <w:gridCol w:w="1674"/>
      </w:tblGrid>
      <w:tr w:rsidR="00E54D2B" w:rsidRPr="00CD4F28" w14:paraId="351D5130" w14:textId="77777777" w:rsidTr="00A93E59">
        <w:tc>
          <w:tcPr>
            <w:tcW w:w="2979" w:type="dxa"/>
            <w:vAlign w:val="center"/>
          </w:tcPr>
          <w:p w14:paraId="7A85C213"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Activities</w:t>
            </w:r>
          </w:p>
        </w:tc>
        <w:tc>
          <w:tcPr>
            <w:tcW w:w="1661" w:type="dxa"/>
            <w:vAlign w:val="center"/>
          </w:tcPr>
          <w:p w14:paraId="78734D1B"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Method</w:t>
            </w:r>
          </w:p>
        </w:tc>
        <w:tc>
          <w:tcPr>
            <w:tcW w:w="1499" w:type="dxa"/>
            <w:vAlign w:val="center"/>
          </w:tcPr>
          <w:p w14:paraId="7A620EE6"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2019</w:t>
            </w:r>
          </w:p>
        </w:tc>
        <w:tc>
          <w:tcPr>
            <w:tcW w:w="1368" w:type="dxa"/>
            <w:vAlign w:val="center"/>
          </w:tcPr>
          <w:p w14:paraId="1EE284C5"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Time</w:t>
            </w:r>
          </w:p>
        </w:tc>
        <w:tc>
          <w:tcPr>
            <w:tcW w:w="1674" w:type="dxa"/>
            <w:vAlign w:val="center"/>
          </w:tcPr>
          <w:p w14:paraId="730C2CBD"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2020 Estimate</w:t>
            </w:r>
          </w:p>
        </w:tc>
      </w:tr>
      <w:tr w:rsidR="00E54D2B" w:rsidRPr="00CD4F28" w14:paraId="38E4166E" w14:textId="77777777" w:rsidTr="00E54D2B">
        <w:tc>
          <w:tcPr>
            <w:tcW w:w="2979" w:type="dxa"/>
            <w:vAlign w:val="center"/>
          </w:tcPr>
          <w:p w14:paraId="40C06219" w14:textId="4D866EA4" w:rsidR="00E54D2B" w:rsidRPr="00CD4F28" w:rsidRDefault="00E54D2B" w:rsidP="00A93E59">
            <w:pPr>
              <w:pStyle w:val="BodyText"/>
              <w:tabs>
                <w:tab w:val="left" w:pos="0"/>
              </w:tabs>
              <w:spacing w:line="276" w:lineRule="auto"/>
              <w:ind w:right="283"/>
              <w:rPr>
                <w:rFonts w:ascii="Arial" w:hAnsi="Arial" w:cs="Arial"/>
                <w:sz w:val="22"/>
                <w:szCs w:val="24"/>
                <w:lang w:val="en-IE"/>
              </w:rPr>
            </w:pPr>
            <w:r>
              <w:rPr>
                <w:rFonts w:ascii="Arial" w:hAnsi="Arial" w:cs="Arial"/>
                <w:sz w:val="22"/>
                <w:szCs w:val="24"/>
                <w:lang w:val="en-IE"/>
              </w:rPr>
              <w:t>Communication and dissemination plan</w:t>
            </w:r>
          </w:p>
        </w:tc>
        <w:tc>
          <w:tcPr>
            <w:tcW w:w="1661" w:type="dxa"/>
            <w:vAlign w:val="center"/>
          </w:tcPr>
          <w:p w14:paraId="2F8033BF" w14:textId="49E20B16" w:rsidR="00E54D2B" w:rsidRPr="00CD4F28" w:rsidRDefault="00E54D2B" w:rsidP="00A93E59">
            <w:pPr>
              <w:pStyle w:val="BodyText"/>
              <w:tabs>
                <w:tab w:val="left" w:pos="0"/>
              </w:tabs>
              <w:spacing w:line="276" w:lineRule="auto"/>
              <w:ind w:right="283"/>
              <w:jc w:val="center"/>
              <w:rPr>
                <w:rFonts w:ascii="Arial" w:hAnsi="Arial" w:cs="Arial"/>
                <w:sz w:val="22"/>
                <w:szCs w:val="24"/>
                <w:lang w:val="en-IE"/>
              </w:rPr>
            </w:pPr>
            <w:r>
              <w:rPr>
                <w:rFonts w:ascii="Arial" w:hAnsi="Arial" w:cs="Arial"/>
                <w:sz w:val="22"/>
                <w:szCs w:val="24"/>
                <w:lang w:val="en-IE"/>
              </w:rPr>
              <w:t>Service contract</w:t>
            </w:r>
          </w:p>
        </w:tc>
        <w:tc>
          <w:tcPr>
            <w:tcW w:w="1499" w:type="dxa"/>
            <w:vAlign w:val="center"/>
          </w:tcPr>
          <w:p w14:paraId="644DF7FB" w14:textId="4C67325C" w:rsidR="00E54D2B" w:rsidRPr="00CD4F28" w:rsidRDefault="00E54D2B" w:rsidP="00E54D2B">
            <w:pPr>
              <w:pStyle w:val="BodyText"/>
              <w:tabs>
                <w:tab w:val="left" w:pos="0"/>
              </w:tabs>
              <w:spacing w:line="276" w:lineRule="auto"/>
              <w:ind w:right="283"/>
              <w:jc w:val="center"/>
              <w:rPr>
                <w:rFonts w:ascii="Arial" w:hAnsi="Arial" w:cs="Arial"/>
                <w:sz w:val="22"/>
                <w:szCs w:val="24"/>
                <w:highlight w:val="yellow"/>
                <w:lang w:val="en-IE"/>
              </w:rPr>
            </w:pPr>
            <w:r w:rsidRPr="00E54D2B">
              <w:rPr>
                <w:rFonts w:ascii="Arial" w:hAnsi="Arial" w:cs="Arial"/>
                <w:sz w:val="22"/>
                <w:szCs w:val="24"/>
                <w:lang w:val="en-IE"/>
              </w:rPr>
              <w:t>30 000</w:t>
            </w:r>
          </w:p>
        </w:tc>
        <w:tc>
          <w:tcPr>
            <w:tcW w:w="1368" w:type="dxa"/>
            <w:vAlign w:val="center"/>
          </w:tcPr>
          <w:p w14:paraId="1E2F50F8" w14:textId="457DC704" w:rsidR="00E54D2B" w:rsidRPr="00CD4F28" w:rsidRDefault="00E54D2B" w:rsidP="00A93E59">
            <w:pPr>
              <w:pStyle w:val="BodyText"/>
              <w:tabs>
                <w:tab w:val="left" w:pos="0"/>
              </w:tabs>
              <w:spacing w:line="276" w:lineRule="auto"/>
              <w:ind w:right="283"/>
              <w:jc w:val="center"/>
              <w:rPr>
                <w:rFonts w:ascii="Arial" w:hAnsi="Arial" w:cs="Arial"/>
                <w:sz w:val="22"/>
                <w:szCs w:val="24"/>
                <w:lang w:val="en-IE"/>
              </w:rPr>
            </w:pPr>
            <w:r>
              <w:rPr>
                <w:rFonts w:ascii="Arial" w:hAnsi="Arial" w:cs="Arial"/>
                <w:sz w:val="22"/>
                <w:szCs w:val="24"/>
                <w:lang w:val="en-IE"/>
              </w:rPr>
              <w:t>Q1- Q3</w:t>
            </w:r>
          </w:p>
        </w:tc>
        <w:tc>
          <w:tcPr>
            <w:tcW w:w="1674" w:type="dxa"/>
            <w:vAlign w:val="center"/>
          </w:tcPr>
          <w:p w14:paraId="18420C71" w14:textId="6503F38D" w:rsidR="00E54D2B" w:rsidRPr="00CD4F28" w:rsidRDefault="00E54D2B" w:rsidP="00A93E59">
            <w:pPr>
              <w:pStyle w:val="BodyText"/>
              <w:tabs>
                <w:tab w:val="left" w:pos="0"/>
              </w:tabs>
              <w:spacing w:line="276" w:lineRule="auto"/>
              <w:ind w:right="283"/>
              <w:jc w:val="right"/>
              <w:rPr>
                <w:rFonts w:ascii="Arial" w:hAnsi="Arial" w:cs="Arial"/>
                <w:sz w:val="22"/>
                <w:szCs w:val="24"/>
                <w:lang w:val="en-IE"/>
              </w:rPr>
            </w:pPr>
          </w:p>
        </w:tc>
      </w:tr>
      <w:tr w:rsidR="00E54D2B" w:rsidRPr="00CD4F28" w14:paraId="27E304B4" w14:textId="77777777" w:rsidTr="00E54D2B">
        <w:tc>
          <w:tcPr>
            <w:tcW w:w="2979" w:type="dxa"/>
            <w:shd w:val="clear" w:color="auto" w:fill="auto"/>
            <w:vAlign w:val="center"/>
          </w:tcPr>
          <w:p w14:paraId="213D4976" w14:textId="5A3AB412" w:rsidR="00E54D2B" w:rsidRPr="00CD4F28" w:rsidRDefault="00E54D2B" w:rsidP="00A93E59">
            <w:pPr>
              <w:pStyle w:val="BodyText"/>
              <w:tabs>
                <w:tab w:val="left" w:pos="0"/>
              </w:tabs>
              <w:spacing w:line="276" w:lineRule="auto"/>
              <w:ind w:right="283"/>
              <w:rPr>
                <w:rFonts w:ascii="Arial" w:hAnsi="Arial" w:cs="Arial"/>
                <w:sz w:val="22"/>
                <w:szCs w:val="24"/>
                <w:lang w:val="en-IE"/>
              </w:rPr>
            </w:pPr>
            <w:r>
              <w:rPr>
                <w:rFonts w:ascii="Arial" w:hAnsi="Arial" w:cs="Arial"/>
                <w:sz w:val="22"/>
                <w:szCs w:val="24"/>
                <w:lang w:val="en-IE"/>
              </w:rPr>
              <w:t>Conference on ELA</w:t>
            </w:r>
          </w:p>
        </w:tc>
        <w:tc>
          <w:tcPr>
            <w:tcW w:w="1661" w:type="dxa"/>
            <w:shd w:val="clear" w:color="auto" w:fill="auto"/>
            <w:vAlign w:val="center"/>
          </w:tcPr>
          <w:p w14:paraId="473802FE" w14:textId="39ED93DF" w:rsidR="00E54D2B" w:rsidRPr="00CD4F28" w:rsidRDefault="00E54D2B" w:rsidP="00A93E59">
            <w:pPr>
              <w:pStyle w:val="BodyText"/>
              <w:tabs>
                <w:tab w:val="left" w:pos="0"/>
              </w:tabs>
              <w:spacing w:line="276" w:lineRule="auto"/>
              <w:ind w:right="283"/>
              <w:jc w:val="center"/>
              <w:rPr>
                <w:rFonts w:ascii="Arial" w:hAnsi="Arial" w:cs="Arial"/>
                <w:sz w:val="22"/>
                <w:szCs w:val="24"/>
                <w:lang w:val="en-IE"/>
              </w:rPr>
            </w:pPr>
            <w:r>
              <w:rPr>
                <w:rFonts w:ascii="Arial" w:hAnsi="Arial" w:cs="Arial"/>
                <w:sz w:val="22"/>
                <w:szCs w:val="24"/>
                <w:lang w:val="en-IE"/>
              </w:rPr>
              <w:t>Service contract</w:t>
            </w:r>
          </w:p>
        </w:tc>
        <w:tc>
          <w:tcPr>
            <w:tcW w:w="1499" w:type="dxa"/>
            <w:shd w:val="clear" w:color="auto" w:fill="auto"/>
            <w:vAlign w:val="center"/>
          </w:tcPr>
          <w:p w14:paraId="4AD79CEB" w14:textId="10777BD5" w:rsidR="00E54D2B" w:rsidRPr="00CD4F28" w:rsidRDefault="00E54D2B" w:rsidP="00E54D2B">
            <w:pPr>
              <w:pStyle w:val="BodyText"/>
              <w:tabs>
                <w:tab w:val="left" w:pos="0"/>
              </w:tabs>
              <w:spacing w:line="276" w:lineRule="auto"/>
              <w:ind w:right="283"/>
              <w:jc w:val="center"/>
              <w:rPr>
                <w:rFonts w:ascii="Arial" w:hAnsi="Arial" w:cs="Arial"/>
                <w:sz w:val="22"/>
                <w:szCs w:val="24"/>
                <w:lang w:val="en-IE"/>
              </w:rPr>
            </w:pPr>
            <w:r>
              <w:rPr>
                <w:rFonts w:ascii="Arial" w:hAnsi="Arial" w:cs="Arial"/>
                <w:sz w:val="22"/>
                <w:szCs w:val="24"/>
                <w:lang w:val="en-IE"/>
              </w:rPr>
              <w:t>150 000</w:t>
            </w:r>
          </w:p>
        </w:tc>
        <w:tc>
          <w:tcPr>
            <w:tcW w:w="1368" w:type="dxa"/>
            <w:shd w:val="clear" w:color="auto" w:fill="auto"/>
            <w:vAlign w:val="center"/>
          </w:tcPr>
          <w:p w14:paraId="4CABCA9F" w14:textId="63DA306F" w:rsidR="00E54D2B" w:rsidRPr="00CD4F28" w:rsidRDefault="00E54D2B" w:rsidP="00A93E59">
            <w:pPr>
              <w:pStyle w:val="BodyText"/>
              <w:tabs>
                <w:tab w:val="left" w:pos="0"/>
              </w:tabs>
              <w:spacing w:line="276" w:lineRule="auto"/>
              <w:ind w:right="283"/>
              <w:jc w:val="center"/>
              <w:rPr>
                <w:rFonts w:ascii="Arial" w:hAnsi="Arial" w:cs="Arial"/>
                <w:sz w:val="22"/>
                <w:szCs w:val="24"/>
                <w:lang w:val="en-IE"/>
              </w:rPr>
            </w:pPr>
            <w:r>
              <w:rPr>
                <w:rFonts w:ascii="Arial" w:hAnsi="Arial" w:cs="Arial"/>
                <w:sz w:val="22"/>
                <w:szCs w:val="24"/>
                <w:lang w:val="en-IE"/>
              </w:rPr>
              <w:t>Q3-Q4</w:t>
            </w:r>
          </w:p>
        </w:tc>
        <w:tc>
          <w:tcPr>
            <w:tcW w:w="1674" w:type="dxa"/>
            <w:shd w:val="clear" w:color="auto" w:fill="auto"/>
            <w:vAlign w:val="center"/>
          </w:tcPr>
          <w:p w14:paraId="75891B23" w14:textId="63E586DB" w:rsidR="00E54D2B" w:rsidRPr="00CD4F28" w:rsidRDefault="00E54D2B" w:rsidP="00A93E59">
            <w:pPr>
              <w:pStyle w:val="BodyText"/>
              <w:tabs>
                <w:tab w:val="left" w:pos="0"/>
              </w:tabs>
              <w:spacing w:line="276" w:lineRule="auto"/>
              <w:ind w:right="283"/>
              <w:jc w:val="right"/>
              <w:rPr>
                <w:rFonts w:ascii="Arial" w:hAnsi="Arial" w:cs="Arial"/>
                <w:sz w:val="22"/>
                <w:szCs w:val="24"/>
                <w:lang w:val="en-IE"/>
              </w:rPr>
            </w:pPr>
          </w:p>
        </w:tc>
      </w:tr>
      <w:tr w:rsidR="00E54D2B" w:rsidRPr="00CD4F28" w14:paraId="3E6B6183" w14:textId="77777777" w:rsidTr="00E54D2B">
        <w:tc>
          <w:tcPr>
            <w:tcW w:w="2979" w:type="dxa"/>
            <w:shd w:val="clear" w:color="auto" w:fill="EEECE1" w:themeFill="background2"/>
          </w:tcPr>
          <w:p w14:paraId="74371E5D" w14:textId="77777777" w:rsidR="00E54D2B" w:rsidRPr="00CD4F28" w:rsidRDefault="00E54D2B" w:rsidP="00A93E59">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Total</w:t>
            </w:r>
          </w:p>
        </w:tc>
        <w:tc>
          <w:tcPr>
            <w:tcW w:w="1661" w:type="dxa"/>
            <w:shd w:val="clear" w:color="auto" w:fill="EEECE1" w:themeFill="background2"/>
          </w:tcPr>
          <w:p w14:paraId="0194C309" w14:textId="77777777" w:rsidR="00E54D2B" w:rsidRPr="00CD4F28" w:rsidRDefault="00E54D2B" w:rsidP="00A93E59">
            <w:pPr>
              <w:pStyle w:val="BodyText"/>
              <w:tabs>
                <w:tab w:val="left" w:pos="0"/>
              </w:tabs>
              <w:spacing w:line="276" w:lineRule="auto"/>
              <w:ind w:right="283"/>
              <w:rPr>
                <w:rFonts w:ascii="Arial" w:hAnsi="Arial" w:cs="Arial"/>
                <w:sz w:val="22"/>
                <w:szCs w:val="24"/>
                <w:lang w:val="en-IE"/>
              </w:rPr>
            </w:pPr>
          </w:p>
        </w:tc>
        <w:tc>
          <w:tcPr>
            <w:tcW w:w="1499" w:type="dxa"/>
            <w:shd w:val="clear" w:color="auto" w:fill="EEECE1" w:themeFill="background2"/>
            <w:vAlign w:val="center"/>
          </w:tcPr>
          <w:p w14:paraId="430ADD74" w14:textId="42E7E7A5" w:rsidR="00E54D2B" w:rsidRPr="00CD4F28" w:rsidRDefault="00E54D2B" w:rsidP="00E54D2B">
            <w:pPr>
              <w:pStyle w:val="BodyText"/>
              <w:tabs>
                <w:tab w:val="left" w:pos="0"/>
              </w:tabs>
              <w:spacing w:line="276" w:lineRule="auto"/>
              <w:ind w:right="283"/>
              <w:jc w:val="center"/>
              <w:rPr>
                <w:rFonts w:ascii="Arial" w:hAnsi="Arial" w:cs="Arial"/>
                <w:sz w:val="22"/>
                <w:szCs w:val="24"/>
                <w:lang w:val="en-IE"/>
              </w:rPr>
            </w:pPr>
            <w:r>
              <w:rPr>
                <w:rFonts w:ascii="Arial" w:hAnsi="Arial" w:cs="Arial"/>
                <w:sz w:val="22"/>
                <w:szCs w:val="24"/>
                <w:lang w:val="en-IE"/>
              </w:rPr>
              <w:t>180 000</w:t>
            </w:r>
          </w:p>
        </w:tc>
        <w:tc>
          <w:tcPr>
            <w:tcW w:w="1368" w:type="dxa"/>
            <w:shd w:val="clear" w:color="auto" w:fill="EEECE1" w:themeFill="background2"/>
          </w:tcPr>
          <w:p w14:paraId="12DE72ED" w14:textId="77777777" w:rsidR="00E54D2B" w:rsidRPr="00CD4F28" w:rsidRDefault="00E54D2B" w:rsidP="00A93E59">
            <w:pPr>
              <w:pStyle w:val="BodyText"/>
              <w:tabs>
                <w:tab w:val="left" w:pos="0"/>
              </w:tabs>
              <w:spacing w:line="276" w:lineRule="auto"/>
              <w:ind w:right="283"/>
              <w:jc w:val="center"/>
              <w:rPr>
                <w:rFonts w:ascii="Arial" w:hAnsi="Arial" w:cs="Arial"/>
                <w:sz w:val="22"/>
                <w:szCs w:val="24"/>
                <w:lang w:val="en-IE"/>
              </w:rPr>
            </w:pPr>
          </w:p>
        </w:tc>
        <w:tc>
          <w:tcPr>
            <w:tcW w:w="1674" w:type="dxa"/>
            <w:shd w:val="clear" w:color="auto" w:fill="EEECE1" w:themeFill="background2"/>
            <w:vAlign w:val="center"/>
          </w:tcPr>
          <w:p w14:paraId="7AEBAD7C" w14:textId="0BF381B8" w:rsidR="00E54D2B" w:rsidRPr="00CD4F28" w:rsidRDefault="00E54D2B" w:rsidP="00A93E59">
            <w:pPr>
              <w:pStyle w:val="BodyText"/>
              <w:tabs>
                <w:tab w:val="left" w:pos="0"/>
              </w:tabs>
              <w:spacing w:line="276" w:lineRule="auto"/>
              <w:ind w:right="283"/>
              <w:jc w:val="right"/>
              <w:rPr>
                <w:rFonts w:ascii="Arial" w:hAnsi="Arial" w:cs="Arial"/>
                <w:b/>
                <w:sz w:val="22"/>
                <w:szCs w:val="24"/>
                <w:lang w:val="en-IE"/>
              </w:rPr>
            </w:pPr>
          </w:p>
        </w:tc>
      </w:tr>
      <w:tr w:rsidR="00E54D2B" w:rsidRPr="00CD4F28" w14:paraId="5009DF09" w14:textId="77777777" w:rsidTr="00A93E59">
        <w:tc>
          <w:tcPr>
            <w:tcW w:w="2979" w:type="dxa"/>
            <w:shd w:val="clear" w:color="auto" w:fill="EEECE1" w:themeFill="background2"/>
          </w:tcPr>
          <w:p w14:paraId="3888B4FC" w14:textId="77777777" w:rsidR="00E54D2B" w:rsidRPr="00CD4F28" w:rsidRDefault="00E54D2B" w:rsidP="00A93E59">
            <w:pPr>
              <w:pStyle w:val="BodyText"/>
              <w:tabs>
                <w:tab w:val="left" w:pos="0"/>
              </w:tabs>
              <w:spacing w:line="276" w:lineRule="auto"/>
              <w:ind w:right="283"/>
              <w:rPr>
                <w:rFonts w:ascii="Arial" w:hAnsi="Arial" w:cs="Arial"/>
                <w:b/>
                <w:sz w:val="22"/>
                <w:szCs w:val="24"/>
                <w:lang w:val="en-IE"/>
              </w:rPr>
            </w:pPr>
            <w:r w:rsidRPr="00CD4F28">
              <w:rPr>
                <w:rFonts w:ascii="Arial" w:hAnsi="Arial" w:cs="Arial"/>
                <w:b/>
                <w:sz w:val="22"/>
                <w:szCs w:val="24"/>
                <w:lang w:val="en-IE"/>
              </w:rPr>
              <w:t>Human Resources (FTE)</w:t>
            </w:r>
          </w:p>
        </w:tc>
        <w:tc>
          <w:tcPr>
            <w:tcW w:w="1661" w:type="dxa"/>
            <w:shd w:val="clear" w:color="auto" w:fill="EEECE1" w:themeFill="background2"/>
          </w:tcPr>
          <w:p w14:paraId="6F93EB94" w14:textId="77777777" w:rsidR="00E54D2B" w:rsidRPr="00CD4F28" w:rsidRDefault="00E54D2B" w:rsidP="00A93E59">
            <w:pPr>
              <w:pStyle w:val="BodyText"/>
              <w:tabs>
                <w:tab w:val="left" w:pos="0"/>
              </w:tabs>
              <w:spacing w:line="276" w:lineRule="auto"/>
              <w:ind w:right="283"/>
              <w:rPr>
                <w:rFonts w:ascii="Arial" w:hAnsi="Arial" w:cs="Arial"/>
                <w:b/>
                <w:sz w:val="22"/>
                <w:szCs w:val="24"/>
                <w:lang w:val="en-IE"/>
              </w:rPr>
            </w:pPr>
          </w:p>
        </w:tc>
        <w:tc>
          <w:tcPr>
            <w:tcW w:w="1499" w:type="dxa"/>
            <w:shd w:val="clear" w:color="auto" w:fill="EEECE1" w:themeFill="background2"/>
          </w:tcPr>
          <w:p w14:paraId="18C18A46"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1</w:t>
            </w:r>
          </w:p>
        </w:tc>
        <w:tc>
          <w:tcPr>
            <w:tcW w:w="1368" w:type="dxa"/>
            <w:shd w:val="clear" w:color="auto" w:fill="EEECE1" w:themeFill="background2"/>
          </w:tcPr>
          <w:p w14:paraId="53E25C7F"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Q1 – Q4</w:t>
            </w:r>
          </w:p>
        </w:tc>
        <w:tc>
          <w:tcPr>
            <w:tcW w:w="1674" w:type="dxa"/>
            <w:shd w:val="clear" w:color="auto" w:fill="EEECE1" w:themeFill="background2"/>
            <w:vAlign w:val="center"/>
          </w:tcPr>
          <w:p w14:paraId="2E034F67" w14:textId="77777777" w:rsidR="00E54D2B" w:rsidRPr="00CD4F28" w:rsidRDefault="00E54D2B" w:rsidP="00A93E59">
            <w:pPr>
              <w:pStyle w:val="BodyText"/>
              <w:tabs>
                <w:tab w:val="left" w:pos="0"/>
              </w:tabs>
              <w:spacing w:line="276" w:lineRule="auto"/>
              <w:ind w:right="283"/>
              <w:jc w:val="center"/>
              <w:rPr>
                <w:rFonts w:ascii="Arial" w:hAnsi="Arial" w:cs="Arial"/>
                <w:b/>
                <w:sz w:val="22"/>
                <w:szCs w:val="24"/>
                <w:lang w:val="en-IE"/>
              </w:rPr>
            </w:pPr>
            <w:r w:rsidRPr="00CD4F28">
              <w:rPr>
                <w:rFonts w:ascii="Arial" w:hAnsi="Arial" w:cs="Arial"/>
                <w:b/>
                <w:sz w:val="22"/>
                <w:szCs w:val="24"/>
                <w:lang w:val="en-IE"/>
              </w:rPr>
              <w:t>1 - 2</w:t>
            </w:r>
          </w:p>
        </w:tc>
      </w:tr>
    </w:tbl>
    <w:p w14:paraId="206FAE14" w14:textId="77777777" w:rsidR="00E54D2B" w:rsidRDefault="00E54D2B"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3988B274" w14:textId="77777777" w:rsidR="00640C2C" w:rsidRDefault="00640C2C" w:rsidP="00640C2C">
      <w:pPr>
        <w:rPr>
          <w:rFonts w:ascii="Arial" w:eastAsia="Times New Roman" w:hAnsi="Arial" w:cs="Arial"/>
          <w:sz w:val="24"/>
          <w:szCs w:val="24"/>
          <w:lang w:val="en-IE"/>
        </w:rPr>
      </w:pPr>
    </w:p>
    <w:p w14:paraId="55633A3D" w14:textId="77777777" w:rsidR="00640C2C" w:rsidRDefault="00640C2C">
      <w:pPr>
        <w:rPr>
          <w:rFonts w:ascii="Arial" w:eastAsia="Times New Roman" w:hAnsi="Arial" w:cs="Arial"/>
          <w:sz w:val="24"/>
          <w:szCs w:val="24"/>
          <w:lang w:val="en-IE"/>
        </w:rPr>
      </w:pPr>
      <w:r>
        <w:rPr>
          <w:rFonts w:ascii="Arial" w:eastAsia="Times New Roman" w:hAnsi="Arial" w:cs="Arial"/>
          <w:sz w:val="24"/>
          <w:szCs w:val="24"/>
          <w:lang w:val="en-IE"/>
        </w:rPr>
        <w:br w:type="page"/>
      </w:r>
    </w:p>
    <w:p w14:paraId="39FCB87A" w14:textId="0997B5CB" w:rsidR="008C25F6" w:rsidRPr="00CD4F28" w:rsidRDefault="00245E7C" w:rsidP="00D03DF3">
      <w:pPr>
        <w:pStyle w:val="Heading1"/>
        <w:numPr>
          <w:ilvl w:val="0"/>
          <w:numId w:val="2"/>
        </w:numPr>
      </w:pPr>
      <w:bookmarkStart w:id="41" w:name="_Toc23423351"/>
      <w:bookmarkStart w:id="42" w:name="_Toc23425454"/>
      <w:bookmarkStart w:id="43" w:name="_Toc40092201"/>
      <w:r w:rsidRPr="00CD4F28">
        <w:lastRenderedPageBreak/>
        <w:t>GOVERNANCE AND SUPPORT ACTIVITIES</w:t>
      </w:r>
      <w:bookmarkEnd w:id="41"/>
      <w:bookmarkEnd w:id="42"/>
      <w:bookmarkEnd w:id="43"/>
    </w:p>
    <w:p w14:paraId="49F80031" w14:textId="7A88198A" w:rsidR="00E9091B" w:rsidRPr="00CD4F28" w:rsidRDefault="00A2276E"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The Authority’s administrative and management structure includes a Management Board, an Executive Director and a Stakeholder Group. </w:t>
      </w:r>
      <w:r w:rsidR="00E9091B" w:rsidRPr="00CD4F28">
        <w:rPr>
          <w:rFonts w:ascii="Arial" w:eastAsia="Times New Roman" w:hAnsi="Arial" w:cs="Arial"/>
          <w:sz w:val="24"/>
          <w:szCs w:val="24"/>
          <w:lang w:val="en-IE"/>
        </w:rPr>
        <w:t xml:space="preserve">The start-up phase of </w:t>
      </w:r>
      <w:r w:rsidR="008C25F6" w:rsidRPr="00CD4F28">
        <w:rPr>
          <w:rFonts w:ascii="Arial" w:eastAsia="Times New Roman" w:hAnsi="Arial" w:cs="Arial"/>
          <w:sz w:val="24"/>
          <w:szCs w:val="24"/>
          <w:lang w:val="en-IE"/>
        </w:rPr>
        <w:t>the Authority will continue in</w:t>
      </w:r>
      <w:r w:rsidR="00E9091B" w:rsidRPr="00CD4F28">
        <w:rPr>
          <w:rFonts w:ascii="Arial" w:eastAsia="Times New Roman" w:hAnsi="Arial" w:cs="Arial"/>
          <w:sz w:val="24"/>
          <w:szCs w:val="24"/>
          <w:lang w:val="en-IE"/>
        </w:rPr>
        <w:t xml:space="preserve"> 2020, consolidating the Authority’s essential administrative structures set up in 2019 (i.e. Management Board, Stakeholder Group) and carrying out the selection process for the Executive Director. Additionally, the Authority will continue with recruitment and training of staff.</w:t>
      </w:r>
      <w:r w:rsidRPr="00CD4F28">
        <w:rPr>
          <w:rFonts w:ascii="Arial" w:eastAsia="Times New Roman" w:hAnsi="Arial" w:cs="Arial"/>
          <w:sz w:val="24"/>
          <w:szCs w:val="24"/>
          <w:lang w:val="en-IE"/>
        </w:rPr>
        <w:t xml:space="preserve"> </w:t>
      </w:r>
    </w:p>
    <w:p w14:paraId="19B5A240" w14:textId="13D6A3E2" w:rsidR="003575FC" w:rsidRPr="00CD4F28" w:rsidRDefault="003575FC" w:rsidP="00D03DF3">
      <w:pPr>
        <w:pStyle w:val="Heading1"/>
        <w:numPr>
          <w:ilvl w:val="1"/>
          <w:numId w:val="5"/>
        </w:numPr>
        <w:rPr>
          <w:rFonts w:eastAsia="Times New Roman"/>
        </w:rPr>
      </w:pPr>
      <w:bookmarkStart w:id="44" w:name="_Toc23423353"/>
      <w:bookmarkStart w:id="45" w:name="_Toc23425456"/>
      <w:bookmarkStart w:id="46" w:name="_Toc40092202"/>
      <w:r w:rsidRPr="00CD4F28">
        <w:t>Management Board</w:t>
      </w:r>
      <w:bookmarkEnd w:id="44"/>
      <w:bookmarkEnd w:id="45"/>
      <w:bookmarkEnd w:id="46"/>
    </w:p>
    <w:p w14:paraId="4CC98D61" w14:textId="4C2B00AA" w:rsidR="003575FC" w:rsidRPr="00CD4F28" w:rsidRDefault="00A32B7E"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The Authority </w:t>
      </w:r>
      <w:r w:rsidR="003575FC" w:rsidRPr="00CD4F28">
        <w:rPr>
          <w:rFonts w:ascii="Arial" w:eastAsia="Times New Roman" w:hAnsi="Arial" w:cs="Arial"/>
          <w:sz w:val="24"/>
          <w:szCs w:val="24"/>
          <w:lang w:val="en-IE"/>
        </w:rPr>
        <w:t>is governed by a Management Board, which met for the first time on 16-17 October 2019. The Board appoints the Executive Director, who is in charge of the day-to-day management and administration of the Agency</w:t>
      </w:r>
    </w:p>
    <w:p w14:paraId="6E94ACAF" w14:textId="77777777" w:rsidR="00CE24E4" w:rsidRPr="00CD4F28" w:rsidRDefault="00CE24E4" w:rsidP="00A73694">
      <w:pPr>
        <w:widowControl/>
        <w:tabs>
          <w:tab w:val="left" w:pos="0"/>
        </w:tabs>
        <w:autoSpaceDE/>
        <w:autoSpaceDN/>
        <w:spacing w:before="240" w:after="240"/>
        <w:contextualSpacing/>
        <w:jc w:val="both"/>
        <w:rPr>
          <w:rFonts w:ascii="Arial" w:eastAsia="Times New Roman"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ook w:val="04A0" w:firstRow="1" w:lastRow="0" w:firstColumn="1" w:lastColumn="0" w:noHBand="0" w:noVBand="1"/>
      </w:tblPr>
      <w:tblGrid>
        <w:gridCol w:w="9574"/>
      </w:tblGrid>
      <w:tr w:rsidR="003962C4" w:rsidRPr="00CD4F28" w14:paraId="240C6C39" w14:textId="77777777" w:rsidTr="00C149FA">
        <w:tc>
          <w:tcPr>
            <w:tcW w:w="10010" w:type="dxa"/>
            <w:shd w:val="clear" w:color="auto" w:fill="F2F2F2" w:themeFill="background1" w:themeFillShade="F2"/>
          </w:tcPr>
          <w:p w14:paraId="596453A9" w14:textId="33C5F408" w:rsidR="003962C4" w:rsidRPr="00CD4F28" w:rsidRDefault="00FD5E9A" w:rsidP="00A73694">
            <w:pPr>
              <w:tabs>
                <w:tab w:val="left" w:pos="0"/>
              </w:tabs>
              <w:spacing w:after="120"/>
              <w:rPr>
                <w:rFonts w:ascii="Arial" w:hAnsi="Arial" w:cs="Arial"/>
                <w:sz w:val="24"/>
                <w:szCs w:val="24"/>
                <w:lang w:val="en-IE"/>
              </w:rPr>
            </w:pPr>
            <w:r w:rsidRPr="00CD4F28">
              <w:rPr>
                <w:rFonts w:ascii="Arial" w:hAnsi="Arial" w:cs="Arial"/>
                <w:b/>
                <w:sz w:val="24"/>
                <w:szCs w:val="24"/>
                <w:lang w:val="en-IE"/>
              </w:rPr>
              <w:t>Composition</w:t>
            </w:r>
            <w:r w:rsidR="00A32B7E" w:rsidRPr="00CD4F28">
              <w:rPr>
                <w:rFonts w:ascii="Arial" w:hAnsi="Arial" w:cs="Arial"/>
                <w:b/>
                <w:sz w:val="24"/>
                <w:szCs w:val="24"/>
                <w:lang w:val="en-IE"/>
              </w:rPr>
              <w:t xml:space="preserve"> of the Management Board</w:t>
            </w:r>
            <w:r w:rsidRPr="00CD4F28">
              <w:rPr>
                <w:rFonts w:ascii="Arial" w:hAnsi="Arial" w:cs="Arial"/>
                <w:sz w:val="24"/>
                <w:szCs w:val="24"/>
                <w:lang w:val="en-IE"/>
              </w:rPr>
              <w:t>:</w:t>
            </w:r>
          </w:p>
          <w:p w14:paraId="78EA4FBC" w14:textId="016D6075" w:rsidR="003962C4"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One </w:t>
            </w:r>
            <w:r w:rsidR="003962C4" w:rsidRPr="00CD4F28">
              <w:rPr>
                <w:rFonts w:ascii="Arial" w:hAnsi="Arial" w:cs="Arial"/>
                <w:sz w:val="24"/>
                <w:szCs w:val="24"/>
                <w:lang w:val="en-IE"/>
              </w:rPr>
              <w:t>representative from each Member State;</w:t>
            </w:r>
          </w:p>
          <w:p w14:paraId="5001DB3A" w14:textId="02E2E537" w:rsidR="003962C4"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Two </w:t>
            </w:r>
            <w:r w:rsidR="003962C4" w:rsidRPr="00CD4F28">
              <w:rPr>
                <w:rFonts w:ascii="Arial" w:hAnsi="Arial" w:cs="Arial"/>
                <w:sz w:val="24"/>
                <w:szCs w:val="24"/>
                <w:lang w:val="en-IE"/>
              </w:rPr>
              <w:t xml:space="preserve">representatives </w:t>
            </w:r>
            <w:r w:rsidRPr="00CD4F28">
              <w:rPr>
                <w:rFonts w:ascii="Arial" w:hAnsi="Arial" w:cs="Arial"/>
                <w:sz w:val="24"/>
                <w:szCs w:val="24"/>
                <w:lang w:val="en-IE"/>
              </w:rPr>
              <w:t xml:space="preserve">of </w:t>
            </w:r>
            <w:r w:rsidR="003962C4" w:rsidRPr="00CD4F28">
              <w:rPr>
                <w:rFonts w:ascii="Arial" w:hAnsi="Arial" w:cs="Arial"/>
                <w:sz w:val="24"/>
                <w:szCs w:val="24"/>
                <w:lang w:val="en-IE"/>
              </w:rPr>
              <w:t>the Commission;</w:t>
            </w:r>
          </w:p>
          <w:p w14:paraId="72442AB1" w14:textId="30FE6570" w:rsidR="003962C4"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One </w:t>
            </w:r>
            <w:r w:rsidR="003962C4" w:rsidRPr="00CD4F28">
              <w:rPr>
                <w:rFonts w:ascii="Arial" w:hAnsi="Arial" w:cs="Arial"/>
                <w:sz w:val="24"/>
                <w:szCs w:val="24"/>
                <w:lang w:val="en-IE"/>
              </w:rPr>
              <w:t>independent expert appointed by the European Parliament</w:t>
            </w:r>
            <w:r w:rsidRPr="00CD4F28">
              <w:rPr>
                <w:rFonts w:ascii="Arial" w:hAnsi="Arial" w:cs="Arial"/>
                <w:sz w:val="24"/>
                <w:szCs w:val="24"/>
                <w:lang w:val="en-IE"/>
              </w:rPr>
              <w:t>;</w:t>
            </w:r>
            <w:r w:rsidR="003962C4" w:rsidRPr="00CD4F28">
              <w:rPr>
                <w:rFonts w:ascii="Arial" w:hAnsi="Arial" w:cs="Arial"/>
                <w:sz w:val="24"/>
                <w:szCs w:val="24"/>
                <w:lang w:val="en-IE"/>
              </w:rPr>
              <w:t xml:space="preserve"> </w:t>
            </w:r>
          </w:p>
          <w:p w14:paraId="3C26B459" w14:textId="70DDC0E7" w:rsidR="003962C4"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 xml:space="preserve">Four </w:t>
            </w:r>
            <w:r w:rsidR="003962C4" w:rsidRPr="00CD4F28">
              <w:rPr>
                <w:rFonts w:ascii="Arial" w:hAnsi="Arial" w:cs="Arial"/>
                <w:sz w:val="24"/>
                <w:szCs w:val="24"/>
                <w:lang w:val="en-IE"/>
              </w:rPr>
              <w:t xml:space="preserve">representatives of </w:t>
            </w:r>
            <w:r w:rsidRPr="00CD4F28">
              <w:rPr>
                <w:rFonts w:ascii="Arial" w:hAnsi="Arial" w:cs="Arial"/>
                <w:sz w:val="24"/>
                <w:szCs w:val="24"/>
                <w:lang w:val="en-IE"/>
              </w:rPr>
              <w:t>cross-industry social partner organisations at Union</w:t>
            </w:r>
            <w:r w:rsidR="003962C4" w:rsidRPr="00CD4F28">
              <w:rPr>
                <w:rFonts w:ascii="Arial" w:hAnsi="Arial" w:cs="Arial"/>
                <w:sz w:val="24"/>
                <w:szCs w:val="24"/>
                <w:lang w:val="en-IE"/>
              </w:rPr>
              <w:t xml:space="preserve"> </w:t>
            </w:r>
            <w:r w:rsidRPr="00CD4F28">
              <w:rPr>
                <w:rFonts w:ascii="Arial" w:hAnsi="Arial" w:cs="Arial"/>
                <w:sz w:val="24"/>
                <w:szCs w:val="24"/>
                <w:lang w:val="en-IE"/>
              </w:rPr>
              <w:t>l</w:t>
            </w:r>
            <w:r w:rsidR="003962C4" w:rsidRPr="00CD4F28">
              <w:rPr>
                <w:rFonts w:ascii="Arial" w:hAnsi="Arial" w:cs="Arial"/>
                <w:sz w:val="24"/>
                <w:szCs w:val="24"/>
                <w:lang w:val="en-IE"/>
              </w:rPr>
              <w:t>evel</w:t>
            </w:r>
            <w:r w:rsidRPr="00CD4F28">
              <w:rPr>
                <w:rFonts w:ascii="Arial" w:hAnsi="Arial" w:cs="Arial"/>
                <w:sz w:val="24"/>
                <w:szCs w:val="24"/>
                <w:lang w:val="en-IE"/>
              </w:rPr>
              <w:t>;</w:t>
            </w:r>
            <w:r w:rsidR="003962C4" w:rsidRPr="00CD4F28">
              <w:rPr>
                <w:rFonts w:ascii="Arial" w:hAnsi="Arial" w:cs="Arial"/>
                <w:sz w:val="24"/>
                <w:szCs w:val="24"/>
                <w:lang w:val="en-IE"/>
              </w:rPr>
              <w:t xml:space="preserve"> </w:t>
            </w:r>
          </w:p>
          <w:p w14:paraId="64A1032B" w14:textId="15E47D35" w:rsidR="00A32B7E" w:rsidRPr="00CD4F28" w:rsidRDefault="00A32B7E" w:rsidP="00A73694">
            <w:pPr>
              <w:tabs>
                <w:tab w:val="left" w:pos="0"/>
              </w:tabs>
              <w:spacing w:after="120"/>
              <w:rPr>
                <w:rFonts w:ascii="Arial" w:hAnsi="Arial" w:cs="Arial"/>
                <w:b/>
                <w:sz w:val="24"/>
                <w:szCs w:val="24"/>
                <w:lang w:val="en-IE"/>
              </w:rPr>
            </w:pPr>
            <w:r w:rsidRPr="00CD4F28">
              <w:rPr>
                <w:rFonts w:ascii="Arial" w:hAnsi="Arial" w:cs="Arial"/>
                <w:b/>
                <w:sz w:val="24"/>
                <w:szCs w:val="24"/>
                <w:lang w:val="en-IE"/>
              </w:rPr>
              <w:t xml:space="preserve">Observers to the Management Board: </w:t>
            </w:r>
          </w:p>
          <w:p w14:paraId="33E1917A" w14:textId="5A3C52DD" w:rsidR="003962C4"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Representatives from Iceland, Lichtenstein, Norway, and Switzerland;</w:t>
            </w:r>
            <w:r w:rsidRPr="00CD4F28" w:rsidDel="00A32B7E">
              <w:rPr>
                <w:rFonts w:ascii="Arial" w:hAnsi="Arial" w:cs="Arial"/>
                <w:sz w:val="24"/>
                <w:szCs w:val="24"/>
                <w:lang w:val="en-IE"/>
              </w:rPr>
              <w:t xml:space="preserve"> </w:t>
            </w:r>
          </w:p>
          <w:p w14:paraId="6F96B24F" w14:textId="104720B9" w:rsidR="003962C4" w:rsidRPr="00CD4F28" w:rsidRDefault="003962C4"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Representatives of Eurofound, EU-OSHA, Cedefop and ETF</w:t>
            </w:r>
            <w:r w:rsidR="00A32B7E" w:rsidRPr="00CD4F28">
              <w:rPr>
                <w:rFonts w:ascii="Arial" w:hAnsi="Arial" w:cs="Arial"/>
                <w:sz w:val="24"/>
                <w:szCs w:val="24"/>
                <w:lang w:val="en-IE"/>
              </w:rPr>
              <w:t>.</w:t>
            </w:r>
          </w:p>
          <w:p w14:paraId="006E5701" w14:textId="641BCB55" w:rsidR="003962C4" w:rsidRPr="00CD4F28" w:rsidRDefault="003962C4" w:rsidP="00A73694">
            <w:pPr>
              <w:widowControl/>
              <w:tabs>
                <w:tab w:val="left" w:pos="0"/>
              </w:tabs>
              <w:autoSpaceDE/>
              <w:autoSpaceDN/>
              <w:spacing w:before="240" w:after="240"/>
              <w:contextualSpacing/>
              <w:jc w:val="both"/>
              <w:rPr>
                <w:rFonts w:ascii="Arial" w:hAnsi="Arial" w:cs="Arial"/>
                <w:sz w:val="24"/>
                <w:szCs w:val="24"/>
                <w:lang w:val="en-IE"/>
              </w:rPr>
            </w:pPr>
            <w:r w:rsidRPr="00CD4F28">
              <w:rPr>
                <w:rFonts w:ascii="Arial" w:hAnsi="Arial" w:cs="Arial"/>
                <w:sz w:val="24"/>
                <w:szCs w:val="24"/>
                <w:lang w:val="en-IE"/>
              </w:rPr>
              <w:t>The members of the Management Board and their alternates</w:t>
            </w:r>
            <w:r w:rsidR="00FD5E9A" w:rsidRPr="00CD4F28">
              <w:rPr>
                <w:rFonts w:ascii="Arial" w:hAnsi="Arial" w:cs="Arial"/>
                <w:sz w:val="24"/>
                <w:szCs w:val="24"/>
                <w:lang w:val="en-IE"/>
              </w:rPr>
              <w:t xml:space="preserve"> are appointed for four years (renewable). They</w:t>
            </w:r>
            <w:r w:rsidRPr="00CD4F28">
              <w:rPr>
                <w:rFonts w:ascii="Arial" w:hAnsi="Arial" w:cs="Arial"/>
                <w:sz w:val="24"/>
                <w:szCs w:val="24"/>
                <w:lang w:val="en-IE"/>
              </w:rPr>
              <w:t xml:space="preserve"> may, subject to its rules of procedure, be assisted at the meetings by advisers or experts</w:t>
            </w:r>
            <w:r w:rsidR="00A32B7E" w:rsidRPr="00CD4F28">
              <w:rPr>
                <w:rFonts w:ascii="Arial" w:hAnsi="Arial" w:cs="Arial"/>
                <w:sz w:val="24"/>
                <w:szCs w:val="24"/>
                <w:lang w:val="en-IE"/>
              </w:rPr>
              <w:t>.</w:t>
            </w:r>
          </w:p>
        </w:tc>
      </w:tr>
    </w:tbl>
    <w:p w14:paraId="22231210" w14:textId="77777777" w:rsidR="00F22263" w:rsidRPr="00CD4F28" w:rsidRDefault="00F22263" w:rsidP="00A73694">
      <w:pPr>
        <w:widowControl/>
        <w:tabs>
          <w:tab w:val="left" w:pos="0"/>
        </w:tabs>
        <w:autoSpaceDE/>
        <w:autoSpaceDN/>
        <w:spacing w:before="240" w:after="240"/>
        <w:contextualSpacing/>
        <w:jc w:val="both"/>
        <w:rPr>
          <w:rFonts w:ascii="Arial" w:eastAsia="Times New Roman" w:hAnsi="Arial" w:cs="Arial"/>
          <w:sz w:val="24"/>
          <w:szCs w:val="24"/>
          <w:lang w:val="en-IE"/>
        </w:rPr>
      </w:pPr>
      <w:bookmarkStart w:id="47" w:name="_Toc23423354"/>
    </w:p>
    <w:p w14:paraId="0098FD1A" w14:textId="606F6872" w:rsidR="006413F6" w:rsidRPr="00CD4F28" w:rsidRDefault="00C06809" w:rsidP="00D03DF3">
      <w:pPr>
        <w:pStyle w:val="Heading1"/>
        <w:numPr>
          <w:ilvl w:val="1"/>
          <w:numId w:val="5"/>
        </w:numPr>
      </w:pPr>
      <w:bookmarkStart w:id="48" w:name="_Toc23425457"/>
      <w:bookmarkStart w:id="49" w:name="_Toc40092203"/>
      <w:r w:rsidRPr="00CD4F28">
        <w:t>Executive Director</w:t>
      </w:r>
      <w:bookmarkEnd w:id="47"/>
      <w:bookmarkEnd w:id="48"/>
      <w:bookmarkEnd w:id="49"/>
      <w:r w:rsidR="006413F6" w:rsidRPr="00CD4F28">
        <w:t xml:space="preserve"> </w:t>
      </w:r>
    </w:p>
    <w:p w14:paraId="5B97B6A3" w14:textId="77777777" w:rsidR="006413F6" w:rsidRPr="00CD4F28" w:rsidRDefault="006413F6" w:rsidP="00A73694">
      <w:pPr>
        <w:jc w:val="both"/>
        <w:rPr>
          <w:rFonts w:ascii="Arial" w:hAnsi="Arial" w:cs="Arial"/>
          <w:sz w:val="24"/>
          <w:szCs w:val="24"/>
          <w:lang w:val="en-IE"/>
        </w:rPr>
      </w:pPr>
    </w:p>
    <w:p w14:paraId="3B6678D3" w14:textId="24874BB4" w:rsidR="006413F6" w:rsidRPr="00CD4F28" w:rsidRDefault="003575FC"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The Executive Director is the legal representative</w:t>
      </w:r>
      <w:r w:rsidR="006413F6" w:rsidRPr="00CD4F28">
        <w:rPr>
          <w:rFonts w:ascii="Arial" w:eastAsia="Times New Roman" w:hAnsi="Arial" w:cs="Arial"/>
          <w:sz w:val="24"/>
          <w:szCs w:val="24"/>
          <w:lang w:val="en-IE"/>
        </w:rPr>
        <w:t xml:space="preserve">, </w:t>
      </w:r>
      <w:r w:rsidR="002B7CF9" w:rsidRPr="00CD4F28">
        <w:rPr>
          <w:rFonts w:ascii="Arial" w:eastAsia="Times New Roman" w:hAnsi="Arial" w:cs="Arial"/>
          <w:sz w:val="24"/>
          <w:szCs w:val="24"/>
          <w:lang w:val="en-IE"/>
        </w:rPr>
        <w:t>responsible</w:t>
      </w:r>
      <w:r w:rsidR="006413F6" w:rsidRPr="00CD4F28">
        <w:rPr>
          <w:rFonts w:ascii="Arial" w:eastAsia="Times New Roman" w:hAnsi="Arial" w:cs="Arial"/>
          <w:sz w:val="24"/>
          <w:szCs w:val="24"/>
          <w:lang w:val="en-IE"/>
        </w:rPr>
        <w:t xml:space="preserve"> for the day-to-day management of the Authority and the implementation of the tasks assigned to the Authority by its Regulation</w:t>
      </w:r>
      <w:r w:rsidR="00D477EC" w:rsidRPr="00CD4F28">
        <w:rPr>
          <w:rFonts w:ascii="Arial" w:eastAsia="Times New Roman" w:hAnsi="Arial" w:cs="Arial"/>
          <w:sz w:val="24"/>
          <w:szCs w:val="24"/>
          <w:lang w:val="en-IE"/>
        </w:rPr>
        <w:t>.</w:t>
      </w:r>
    </w:p>
    <w:p w14:paraId="21F9996D" w14:textId="77777777" w:rsidR="006413F6" w:rsidRPr="00CD4F28" w:rsidRDefault="006413F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313C5213" w14:textId="7995291F" w:rsidR="006413F6" w:rsidRPr="00CD4F28" w:rsidRDefault="00C06809"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The selection procedure for the Executive Director was launched in November 2019</w:t>
      </w:r>
      <w:r w:rsidR="008F16FE" w:rsidRPr="00CD4F28">
        <w:rPr>
          <w:rFonts w:ascii="Arial" w:eastAsia="Times New Roman" w:hAnsi="Arial" w:cs="Arial"/>
          <w:sz w:val="24"/>
          <w:szCs w:val="24"/>
          <w:lang w:val="en-IE"/>
        </w:rPr>
        <w:t>.</w:t>
      </w:r>
    </w:p>
    <w:p w14:paraId="6A578F42" w14:textId="77777777" w:rsidR="006413F6" w:rsidRPr="00CD4F28" w:rsidRDefault="006413F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598CC520" w14:textId="179E3D4E" w:rsidR="006413F6" w:rsidRPr="00CD4F28" w:rsidRDefault="00047D1D"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Until the arrival of the new Executive Director, </w:t>
      </w:r>
      <w:r w:rsidR="00A32B7E" w:rsidRPr="00CD4F28">
        <w:rPr>
          <w:rFonts w:ascii="Arial" w:eastAsia="Times New Roman" w:hAnsi="Arial" w:cs="Arial"/>
          <w:sz w:val="24"/>
          <w:szCs w:val="24"/>
          <w:lang w:val="en-IE"/>
        </w:rPr>
        <w:t>the i</w:t>
      </w:r>
      <w:r w:rsidRPr="00CD4F28">
        <w:rPr>
          <w:rFonts w:ascii="Arial" w:eastAsia="Times New Roman" w:hAnsi="Arial" w:cs="Arial"/>
          <w:sz w:val="24"/>
          <w:szCs w:val="24"/>
          <w:lang w:val="en-IE"/>
        </w:rPr>
        <w:t xml:space="preserve">nterim Executive Director </w:t>
      </w:r>
      <w:r w:rsidR="00A32B7E" w:rsidRPr="00CD4F28">
        <w:rPr>
          <w:rFonts w:ascii="Arial" w:eastAsia="Times New Roman" w:hAnsi="Arial" w:cs="Arial"/>
          <w:sz w:val="24"/>
          <w:szCs w:val="24"/>
          <w:lang w:val="en-IE"/>
        </w:rPr>
        <w:t xml:space="preserve">appointed by the Commission in line with Article 44(2)(c) of the Regulation </w:t>
      </w:r>
      <w:r w:rsidRPr="00CD4F28">
        <w:rPr>
          <w:rFonts w:ascii="Arial" w:eastAsia="Times New Roman" w:hAnsi="Arial" w:cs="Arial"/>
          <w:sz w:val="24"/>
          <w:szCs w:val="24"/>
          <w:lang w:val="en-IE"/>
        </w:rPr>
        <w:t>– Jordi Curell Gotor – will exercise this function.</w:t>
      </w:r>
      <w:r w:rsidR="006413F6" w:rsidRPr="00CD4F28">
        <w:rPr>
          <w:rFonts w:ascii="Arial" w:eastAsia="Times New Roman" w:hAnsi="Arial" w:cs="Arial"/>
          <w:sz w:val="24"/>
          <w:szCs w:val="24"/>
          <w:lang w:val="en-IE"/>
        </w:rPr>
        <w:t xml:space="preserve"> During the set-up phase of the Authority he is supported by the ELA Establishment Group.</w:t>
      </w:r>
    </w:p>
    <w:p w14:paraId="089BB5B3" w14:textId="2D687C71" w:rsidR="002B7CF9" w:rsidRPr="00CD4F28" w:rsidRDefault="00047D1D" w:rsidP="00D03DF3">
      <w:pPr>
        <w:pStyle w:val="Heading1"/>
        <w:numPr>
          <w:ilvl w:val="1"/>
          <w:numId w:val="5"/>
        </w:numPr>
      </w:pPr>
      <w:bookmarkStart w:id="50" w:name="_Toc23423355"/>
      <w:bookmarkStart w:id="51" w:name="_Toc23425458"/>
      <w:bookmarkStart w:id="52" w:name="_Toc40092204"/>
      <w:r w:rsidRPr="00CD4F28">
        <w:t>Stakeholder Group</w:t>
      </w:r>
      <w:bookmarkEnd w:id="50"/>
      <w:bookmarkEnd w:id="51"/>
      <w:bookmarkEnd w:id="52"/>
    </w:p>
    <w:p w14:paraId="2D3B95F0" w14:textId="1A622C98" w:rsidR="00CE24E4" w:rsidRPr="00CD4F28" w:rsidRDefault="00CE24E4"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lastRenderedPageBreak/>
        <w:t xml:space="preserve">To facilitate the consultation of relevant stakeholders and to benefit from their expertise in areas covered by the Regulation, a Stakeholder Group </w:t>
      </w:r>
      <w:r w:rsidR="00A32B7E" w:rsidRPr="00CD4F28">
        <w:rPr>
          <w:rFonts w:ascii="Arial" w:eastAsia="Times New Roman" w:hAnsi="Arial" w:cs="Arial"/>
          <w:sz w:val="24"/>
          <w:szCs w:val="24"/>
          <w:lang w:val="en-IE"/>
        </w:rPr>
        <w:t>attached to the Authority with advisory functions</w:t>
      </w:r>
      <w:r w:rsidR="002B7CF9" w:rsidRPr="00CD4F28">
        <w:rPr>
          <w:rFonts w:ascii="Arial" w:eastAsia="Times New Roman" w:hAnsi="Arial" w:cs="Arial"/>
          <w:sz w:val="24"/>
          <w:szCs w:val="24"/>
          <w:lang w:val="en-IE"/>
        </w:rPr>
        <w:t xml:space="preserve"> has been created</w:t>
      </w:r>
      <w:r w:rsidR="00A32B7E" w:rsidRPr="00CD4F28">
        <w:rPr>
          <w:rFonts w:ascii="Arial" w:eastAsia="Times New Roman" w:hAnsi="Arial" w:cs="Arial"/>
          <w:sz w:val="24"/>
          <w:szCs w:val="24"/>
          <w:lang w:val="en-IE"/>
        </w:rPr>
        <w:t xml:space="preserve">. </w:t>
      </w:r>
      <w:r w:rsidR="008C25F6" w:rsidRPr="00CD4F28">
        <w:rPr>
          <w:rFonts w:ascii="Arial" w:eastAsia="Times New Roman" w:hAnsi="Arial" w:cs="Arial"/>
          <w:sz w:val="24"/>
          <w:szCs w:val="24"/>
          <w:lang w:val="en-IE"/>
        </w:rPr>
        <w:t>The Group submit</w:t>
      </w:r>
      <w:r w:rsidR="002B7CF9" w:rsidRPr="00CD4F28">
        <w:rPr>
          <w:rFonts w:ascii="Arial" w:eastAsia="Times New Roman" w:hAnsi="Arial" w:cs="Arial"/>
          <w:sz w:val="24"/>
          <w:szCs w:val="24"/>
          <w:lang w:val="en-IE"/>
        </w:rPr>
        <w:t>s</w:t>
      </w:r>
      <w:r w:rsidR="008C25F6" w:rsidRPr="00CD4F28">
        <w:rPr>
          <w:rFonts w:ascii="Arial" w:eastAsia="Times New Roman" w:hAnsi="Arial" w:cs="Arial"/>
          <w:sz w:val="24"/>
          <w:szCs w:val="24"/>
          <w:lang w:val="en-IE"/>
        </w:rPr>
        <w:t xml:space="preserve"> opinions on </w:t>
      </w:r>
      <w:r w:rsidR="00A32B7E" w:rsidRPr="00CD4F28">
        <w:rPr>
          <w:rFonts w:ascii="Arial" w:eastAsia="Times New Roman" w:hAnsi="Arial" w:cs="Arial"/>
          <w:sz w:val="24"/>
          <w:szCs w:val="24"/>
          <w:lang w:val="en-IE"/>
        </w:rPr>
        <w:t xml:space="preserve">issues relating to EU labour mobility, on the annual activity report and the single programming document </w:t>
      </w:r>
      <w:r w:rsidR="008C25F6" w:rsidRPr="00CD4F28">
        <w:rPr>
          <w:rFonts w:ascii="Arial" w:eastAsia="Times New Roman" w:hAnsi="Arial" w:cs="Arial"/>
          <w:sz w:val="24"/>
          <w:szCs w:val="24"/>
          <w:lang w:val="en-IE"/>
        </w:rPr>
        <w:t>of the Authority.</w:t>
      </w:r>
    </w:p>
    <w:p w14:paraId="6B21ADF7" w14:textId="77777777" w:rsidR="00320F31" w:rsidRPr="00CD4F28" w:rsidRDefault="00320F31"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20B86970" w14:textId="1A117B44" w:rsidR="00CE24E4" w:rsidRPr="00CD4F28" w:rsidRDefault="00CE24E4"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The Management Board adopted at its first meeting in October 2019 the procedure for selecting the members and alternates of the Stakeholder Group. The members of the Stakeholder Group have been appointed </w:t>
      </w:r>
      <w:r w:rsidR="00A73694" w:rsidRPr="00CD4F28">
        <w:rPr>
          <w:rFonts w:ascii="Arial" w:eastAsia="Times New Roman" w:hAnsi="Arial" w:cs="Arial"/>
          <w:sz w:val="24"/>
          <w:szCs w:val="24"/>
          <w:lang w:val="en-IE"/>
        </w:rPr>
        <w:t xml:space="preserve">in 2019 </w:t>
      </w:r>
      <w:r w:rsidRPr="00CD4F28">
        <w:rPr>
          <w:rFonts w:ascii="Arial" w:eastAsia="Times New Roman" w:hAnsi="Arial" w:cs="Arial"/>
          <w:sz w:val="24"/>
          <w:szCs w:val="24"/>
          <w:lang w:val="en-IE"/>
        </w:rPr>
        <w:t xml:space="preserve">by the Management Board, after designation by </w:t>
      </w:r>
      <w:r w:rsidR="00A73694" w:rsidRPr="00CD4F28">
        <w:rPr>
          <w:rFonts w:ascii="Arial" w:eastAsia="Times New Roman" w:hAnsi="Arial" w:cs="Arial"/>
          <w:sz w:val="24"/>
          <w:szCs w:val="24"/>
          <w:lang w:val="en-IE"/>
        </w:rPr>
        <w:t>cross-industry organisations representing Union level social partners</w:t>
      </w:r>
      <w:r w:rsidRPr="00CD4F28">
        <w:rPr>
          <w:rFonts w:ascii="Arial" w:eastAsia="Times New Roman" w:hAnsi="Arial" w:cs="Arial"/>
          <w:sz w:val="24"/>
          <w:szCs w:val="24"/>
          <w:lang w:val="en-IE"/>
        </w:rPr>
        <w:t xml:space="preserve">. </w:t>
      </w:r>
      <w:r w:rsidR="00C1232C">
        <w:rPr>
          <w:rFonts w:ascii="Arial" w:eastAsia="Times New Roman" w:hAnsi="Arial" w:cs="Arial"/>
          <w:sz w:val="24"/>
          <w:szCs w:val="24"/>
          <w:lang w:val="en-IE"/>
        </w:rPr>
        <w:t>The first meeting of the Stakeholder Group took place on 22 November 2019.</w:t>
      </w:r>
    </w:p>
    <w:p w14:paraId="25B41DBF" w14:textId="25C61C46" w:rsidR="00CE24E4" w:rsidRPr="00CD4F28" w:rsidRDefault="00CE24E4" w:rsidP="00A73694">
      <w:pPr>
        <w:widowControl/>
        <w:tabs>
          <w:tab w:val="left" w:pos="0"/>
        </w:tabs>
        <w:autoSpaceDE/>
        <w:autoSpaceDN/>
        <w:spacing w:before="240" w:after="240"/>
        <w:contextualSpacing/>
        <w:jc w:val="both"/>
        <w:rPr>
          <w:rFonts w:ascii="Arial" w:eastAsia="Times New Roman" w:hAnsi="Arial" w:cs="Arial"/>
          <w:sz w:val="24"/>
          <w:szCs w:val="24"/>
          <w:lang w:val="en-IE"/>
        </w:rPr>
      </w:pPr>
    </w:p>
    <w:tbl>
      <w:tblPr>
        <w:tblStyle w:val="TableGrid"/>
        <w:tblW w:w="0" w:type="auto"/>
        <w:tblBorders>
          <w:top w:val="single" w:sz="12" w:space="0" w:color="993366"/>
          <w:left w:val="single" w:sz="12" w:space="0" w:color="993366"/>
          <w:bottom w:val="single" w:sz="12" w:space="0" w:color="993366"/>
          <w:right w:val="single" w:sz="12" w:space="0" w:color="993366"/>
          <w:insideH w:val="single" w:sz="12" w:space="0" w:color="993366"/>
          <w:insideV w:val="single" w:sz="12" w:space="0" w:color="993366"/>
        </w:tblBorders>
        <w:tblLook w:val="04A0" w:firstRow="1" w:lastRow="0" w:firstColumn="1" w:lastColumn="0" w:noHBand="0" w:noVBand="1"/>
      </w:tblPr>
      <w:tblGrid>
        <w:gridCol w:w="9574"/>
      </w:tblGrid>
      <w:tr w:rsidR="00CE24E4" w:rsidRPr="00CD4F28" w14:paraId="3816E21E" w14:textId="77777777" w:rsidTr="00C149FA">
        <w:tc>
          <w:tcPr>
            <w:tcW w:w="10010" w:type="dxa"/>
            <w:shd w:val="clear" w:color="auto" w:fill="F2F2F2" w:themeFill="background1" w:themeFillShade="F2"/>
          </w:tcPr>
          <w:p w14:paraId="270367D8" w14:textId="77777777" w:rsidR="00CE24E4" w:rsidRPr="00CD4F28" w:rsidRDefault="00CE24E4" w:rsidP="00A73694">
            <w:pPr>
              <w:widowControl/>
              <w:tabs>
                <w:tab w:val="left" w:pos="0"/>
              </w:tabs>
              <w:autoSpaceDE/>
              <w:autoSpaceDN/>
              <w:spacing w:before="240" w:after="240"/>
              <w:contextualSpacing/>
              <w:jc w:val="both"/>
              <w:rPr>
                <w:rFonts w:ascii="Arial" w:eastAsia="Times New Roman" w:hAnsi="Arial" w:cs="Arial"/>
                <w:b/>
                <w:sz w:val="24"/>
                <w:szCs w:val="24"/>
                <w:lang w:val="en-IE"/>
              </w:rPr>
            </w:pPr>
            <w:r w:rsidRPr="00CD4F28">
              <w:rPr>
                <w:rFonts w:ascii="Arial" w:eastAsia="Times New Roman" w:hAnsi="Arial" w:cs="Arial"/>
                <w:b/>
                <w:sz w:val="24"/>
                <w:szCs w:val="24"/>
                <w:lang w:val="en-IE"/>
              </w:rPr>
              <w:t>Composition</w:t>
            </w:r>
          </w:p>
          <w:p w14:paraId="2583FCB7" w14:textId="30C5248E" w:rsidR="00A32B7E"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hAnsi="Arial" w:cs="Arial"/>
                <w:sz w:val="24"/>
                <w:szCs w:val="24"/>
                <w:lang w:val="en-IE"/>
              </w:rPr>
            </w:pPr>
            <w:r w:rsidRPr="00CD4F28">
              <w:rPr>
                <w:rFonts w:ascii="Arial" w:hAnsi="Arial" w:cs="Arial"/>
                <w:sz w:val="24"/>
                <w:szCs w:val="24"/>
                <w:lang w:val="en-IE"/>
              </w:rPr>
              <w:t>Two representatives of the Commission;</w:t>
            </w:r>
          </w:p>
          <w:p w14:paraId="010BADCA" w14:textId="65011816" w:rsidR="00CE24E4" w:rsidRPr="00CD4F28" w:rsidRDefault="00A32B7E" w:rsidP="00D03DF3">
            <w:pPr>
              <w:pStyle w:val="ListParagraph"/>
              <w:widowControl/>
              <w:numPr>
                <w:ilvl w:val="0"/>
                <w:numId w:val="3"/>
              </w:numPr>
              <w:tabs>
                <w:tab w:val="left" w:pos="0"/>
              </w:tabs>
              <w:autoSpaceDE/>
              <w:autoSpaceDN/>
              <w:spacing w:after="200" w:line="276" w:lineRule="auto"/>
              <w:ind w:left="709" w:right="283" w:hanging="709"/>
              <w:contextualSpacing/>
              <w:jc w:val="both"/>
              <w:rPr>
                <w:rFonts w:ascii="Arial" w:eastAsia="Times New Roman" w:hAnsi="Arial" w:cs="Arial"/>
                <w:sz w:val="24"/>
                <w:szCs w:val="24"/>
                <w:lang w:val="en-IE"/>
              </w:rPr>
            </w:pPr>
            <w:r w:rsidRPr="00CD4F28">
              <w:rPr>
                <w:rFonts w:ascii="Arial" w:hAnsi="Arial" w:cs="Arial"/>
                <w:sz w:val="24"/>
                <w:szCs w:val="24"/>
                <w:lang w:val="en-IE"/>
              </w:rPr>
              <w:t>Ten r</w:t>
            </w:r>
            <w:r w:rsidR="00CE24E4" w:rsidRPr="00CD4F28">
              <w:rPr>
                <w:rFonts w:ascii="Arial" w:hAnsi="Arial" w:cs="Arial"/>
                <w:sz w:val="24"/>
                <w:szCs w:val="24"/>
                <w:lang w:val="en-IE"/>
              </w:rPr>
              <w:t xml:space="preserve">epresentatives of Union-level </w:t>
            </w:r>
            <w:r w:rsidRPr="00CD4F28">
              <w:rPr>
                <w:rFonts w:ascii="Arial" w:hAnsi="Arial" w:cs="Arial"/>
                <w:sz w:val="24"/>
                <w:szCs w:val="24"/>
                <w:lang w:val="en-IE"/>
              </w:rPr>
              <w:t>social partners</w:t>
            </w:r>
            <w:r w:rsidR="00CE24E4" w:rsidRPr="00CD4F28">
              <w:rPr>
                <w:rFonts w:ascii="Arial" w:hAnsi="Arial" w:cs="Arial"/>
                <w:sz w:val="24"/>
                <w:szCs w:val="24"/>
                <w:lang w:val="en-IE"/>
              </w:rPr>
              <w:t>, equally representing trade unions and employer’s organisations, including recognised Union sectoral social partners representing sectors particularly concerned by labour mobility issues.</w:t>
            </w:r>
          </w:p>
        </w:tc>
      </w:tr>
    </w:tbl>
    <w:p w14:paraId="28752C21" w14:textId="77777777" w:rsidR="00E54D2B" w:rsidRPr="00CD4F28" w:rsidRDefault="00E54D2B" w:rsidP="00A73694">
      <w:pPr>
        <w:widowControl/>
        <w:tabs>
          <w:tab w:val="left" w:pos="0"/>
        </w:tabs>
        <w:autoSpaceDE/>
        <w:autoSpaceDN/>
        <w:spacing w:before="240" w:after="240"/>
        <w:contextualSpacing/>
        <w:jc w:val="both"/>
        <w:rPr>
          <w:rFonts w:ascii="Arial" w:eastAsia="Times New Roman" w:hAnsi="Arial" w:cs="Arial"/>
          <w:sz w:val="24"/>
          <w:szCs w:val="24"/>
          <w:lang w:val="en-IE"/>
        </w:rPr>
      </w:pPr>
    </w:p>
    <w:p w14:paraId="19C95871" w14:textId="56174837" w:rsidR="008E15FF" w:rsidRPr="00CD4F28" w:rsidRDefault="005A2B43" w:rsidP="00D03DF3">
      <w:pPr>
        <w:pStyle w:val="Heading1"/>
        <w:numPr>
          <w:ilvl w:val="0"/>
          <w:numId w:val="5"/>
        </w:numPr>
      </w:pPr>
      <w:bookmarkStart w:id="53" w:name="_Toc40092205"/>
      <w:r>
        <w:t>RESOURCES</w:t>
      </w:r>
      <w:bookmarkEnd w:id="53"/>
    </w:p>
    <w:p w14:paraId="759E0F7B" w14:textId="6038B110" w:rsidR="00D44E36" w:rsidRPr="00CD4F28" w:rsidRDefault="00D44E36" w:rsidP="00A73694">
      <w:pPr>
        <w:rPr>
          <w:rFonts w:ascii="Arial" w:hAnsi="Arial" w:cs="Arial"/>
          <w:sz w:val="24"/>
          <w:szCs w:val="24"/>
          <w:lang w:val="en-IE" w:bidi="ar-SA"/>
        </w:rPr>
      </w:pPr>
    </w:p>
    <w:p w14:paraId="79ED9591" w14:textId="213DFC37" w:rsidR="00D44E36" w:rsidRPr="00CD4F28" w:rsidRDefault="00D44E36"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Financial, human resource, corporate service, communications and Information Communications Technology (ICT) functions are needed for an organisation with stable and reli</w:t>
      </w:r>
      <w:r w:rsidR="000C0685" w:rsidRPr="00CD4F28">
        <w:rPr>
          <w:rFonts w:ascii="Arial" w:eastAsia="Times New Roman" w:hAnsi="Arial" w:cs="Arial"/>
          <w:sz w:val="24"/>
          <w:szCs w:val="24"/>
          <w:lang w:val="en-IE"/>
        </w:rPr>
        <w:t>able funding, services, competences and a place of work.</w:t>
      </w:r>
    </w:p>
    <w:p w14:paraId="62019EB9" w14:textId="7CE96A3B" w:rsidR="000C0685" w:rsidRPr="00CD4F28" w:rsidRDefault="000C0685" w:rsidP="00A73694">
      <w:pPr>
        <w:widowControl/>
        <w:tabs>
          <w:tab w:val="left" w:pos="0"/>
        </w:tabs>
        <w:autoSpaceDE/>
        <w:autoSpaceDN/>
        <w:spacing w:before="240" w:after="240"/>
        <w:contextualSpacing/>
        <w:jc w:val="both"/>
        <w:rPr>
          <w:rFonts w:ascii="Arial" w:eastAsia="Times New Roman" w:hAnsi="Arial" w:cs="Arial"/>
          <w:sz w:val="24"/>
          <w:szCs w:val="24"/>
          <w:lang w:val="en-IE"/>
        </w:rPr>
      </w:pPr>
    </w:p>
    <w:p w14:paraId="219D4CC0" w14:textId="6052212B" w:rsidR="000C0685" w:rsidRPr="00CD4F28" w:rsidRDefault="000C0685" w:rsidP="00D03DF3">
      <w:pPr>
        <w:pStyle w:val="Heading1"/>
        <w:numPr>
          <w:ilvl w:val="1"/>
          <w:numId w:val="5"/>
        </w:numPr>
      </w:pPr>
      <w:bookmarkStart w:id="54" w:name="_Toc23423359"/>
      <w:bookmarkStart w:id="55" w:name="_Toc23425462"/>
      <w:bookmarkStart w:id="56" w:name="_Toc40092206"/>
      <w:r w:rsidRPr="00CD4F28">
        <w:t>Financial resources</w:t>
      </w:r>
      <w:bookmarkEnd w:id="54"/>
      <w:bookmarkEnd w:id="55"/>
      <w:bookmarkEnd w:id="56"/>
    </w:p>
    <w:p w14:paraId="4ABF9CD4" w14:textId="6EE3B02B" w:rsidR="003A5A35" w:rsidRPr="00CD4F28" w:rsidRDefault="003A5A35" w:rsidP="00A73694">
      <w:pPr>
        <w:rPr>
          <w:rFonts w:ascii="Arial" w:hAnsi="Arial" w:cs="Arial"/>
          <w:lang w:val="en-IE"/>
        </w:rPr>
      </w:pPr>
    </w:p>
    <w:p w14:paraId="5ED0D9EB" w14:textId="77777777" w:rsidR="002B7CF9" w:rsidRPr="00CD4F28" w:rsidRDefault="002B7CF9"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In the first years of operation, financial resources are used intensively to set up the new organisation and build capacity, notably in view of the move to the seat. The administrative expenditure includes: salaries and related allowances, expenditure relating to staff recruitment, missions and training expenses, IT equipment and services to ensure the effective administration of the Authority, technical equipment and furniture, costs of the organisation of the meetings of its governing bodies, as well as external communication activities. </w:t>
      </w:r>
    </w:p>
    <w:p w14:paraId="0D44E790" w14:textId="77777777" w:rsidR="002B7CF9" w:rsidRPr="00CD4F28" w:rsidRDefault="002B7CF9"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277434F7" w14:textId="5157B305" w:rsidR="002B7CF9" w:rsidRPr="00CD4F28" w:rsidRDefault="002B7CF9" w:rsidP="00A73694">
      <w:pPr>
        <w:jc w:val="center"/>
        <w:rPr>
          <w:rFonts w:ascii="Arial" w:hAnsi="Arial" w:cs="Arial"/>
        </w:rPr>
      </w:pPr>
      <w:r w:rsidRPr="00CD4F28">
        <w:rPr>
          <w:rFonts w:ascii="Arial" w:hAnsi="Arial" w:cs="Arial"/>
          <w:noProof/>
          <w:lang w:bidi="ar-SA"/>
        </w:rPr>
        <w:lastRenderedPageBreak/>
        <w:drawing>
          <wp:inline distT="0" distB="0" distL="0" distR="0" wp14:anchorId="6ADDECC3" wp14:editId="087D7E01">
            <wp:extent cx="4701540" cy="297624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209D4E" w14:textId="77777777" w:rsidR="002B7CF9" w:rsidRPr="00CD4F28" w:rsidRDefault="002B7CF9" w:rsidP="00A73694">
      <w:pPr>
        <w:rPr>
          <w:rFonts w:ascii="Arial" w:hAnsi="Arial" w:cs="Arial"/>
        </w:rPr>
      </w:pPr>
    </w:p>
    <w:p w14:paraId="6E3F8E4D" w14:textId="77777777" w:rsidR="002B7CF9" w:rsidRPr="00CD4F28" w:rsidRDefault="002B7CF9"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The Authority will continue developing its capacity for the financial autonomy</w:t>
      </w:r>
      <w:r w:rsidRPr="00CD4F28">
        <w:rPr>
          <w:rFonts w:ascii="Arial" w:eastAsia="Times New Roman" w:hAnsi="Arial" w:cs="Arial"/>
          <w:sz w:val="24"/>
          <w:szCs w:val="24"/>
          <w:vertAlign w:val="superscript"/>
          <w:lang w:val="en-IE"/>
        </w:rPr>
        <w:footnoteReference w:id="8"/>
      </w:r>
      <w:r w:rsidRPr="00CD4F28">
        <w:rPr>
          <w:rFonts w:ascii="Arial" w:eastAsia="Times New Roman" w:hAnsi="Arial" w:cs="Arial"/>
          <w:sz w:val="24"/>
          <w:szCs w:val="24"/>
          <w:lang w:val="en-IE"/>
        </w:rPr>
        <w:t xml:space="preserve">. Beyond establishing its governing bodies, recruiting its Executive Director and building its physical and IT infrastructure, it requires to set-up an adequate financial management environment, inter alia: developing policies, procedures and processes, installing the necessary ICT systems for accounting and budgeting, and recruiting and train financial staff. Preparatory work will also be performed to ensure a timely installation of the necessary ICT systems for accounting and budgeting (ABAC) and a swift implementation of the key Internal Control Principles. </w:t>
      </w:r>
    </w:p>
    <w:p w14:paraId="17431F6E" w14:textId="77777777" w:rsidR="002B7CF9" w:rsidRPr="00CD4F28" w:rsidRDefault="002B7CF9"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05197164" w14:textId="77777777" w:rsidR="002B7CF9" w:rsidRPr="00CD4F28" w:rsidRDefault="002B7CF9"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Until it becomes financially autonomous, the Authority will rely on the European Commission for the implementation of its budget. </w:t>
      </w:r>
    </w:p>
    <w:p w14:paraId="2787F39C" w14:textId="1F766AF0" w:rsidR="000C0685" w:rsidRPr="00CD4F28" w:rsidRDefault="000C0685" w:rsidP="00A73694">
      <w:pPr>
        <w:widowControl/>
        <w:tabs>
          <w:tab w:val="left" w:pos="0"/>
        </w:tabs>
        <w:autoSpaceDE/>
        <w:autoSpaceDN/>
        <w:spacing w:before="240" w:after="240"/>
        <w:contextualSpacing/>
        <w:jc w:val="both"/>
        <w:rPr>
          <w:rFonts w:ascii="Arial" w:eastAsia="Times New Roman" w:hAnsi="Arial" w:cs="Arial"/>
          <w:sz w:val="24"/>
          <w:szCs w:val="24"/>
        </w:rPr>
      </w:pPr>
    </w:p>
    <w:p w14:paraId="1CF13A61" w14:textId="099E6421" w:rsidR="000C0685" w:rsidRPr="00CD4F28" w:rsidRDefault="000C0685" w:rsidP="00D03DF3">
      <w:pPr>
        <w:pStyle w:val="Heading1"/>
        <w:numPr>
          <w:ilvl w:val="1"/>
          <w:numId w:val="5"/>
        </w:numPr>
      </w:pPr>
      <w:bookmarkStart w:id="57" w:name="_Toc23423360"/>
      <w:bookmarkStart w:id="58" w:name="_Toc23425463"/>
      <w:bookmarkStart w:id="59" w:name="_Toc40092207"/>
      <w:r w:rsidRPr="00CD4F28">
        <w:t>Human resources</w:t>
      </w:r>
      <w:bookmarkEnd w:id="57"/>
      <w:bookmarkEnd w:id="58"/>
      <w:bookmarkEnd w:id="59"/>
    </w:p>
    <w:p w14:paraId="1C74089A" w14:textId="551D23E0" w:rsidR="00A73694" w:rsidRPr="00CD4F28" w:rsidRDefault="00A73694" w:rsidP="00A73694">
      <w:pPr>
        <w:rPr>
          <w:rFonts w:ascii="Arial" w:hAnsi="Arial" w:cs="Arial"/>
          <w:lang w:val="en-IE"/>
        </w:rPr>
      </w:pPr>
    </w:p>
    <w:p w14:paraId="1110FA94" w14:textId="01AB2AC3" w:rsidR="00A73694" w:rsidRPr="00CD4F28" w:rsidRDefault="00A73694"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As a decentralised agency of the European Union, the European Labour Authority (ELA) will be employing staff on a temporary basis (as “temporary agent” and “contract agents”). The Staff Regulations of Officials and the Conditions of Employment of Other Servants (CEOS)</w:t>
      </w:r>
      <w:r w:rsidR="00E54BD9" w:rsidRPr="00CD4F28">
        <w:rPr>
          <w:rStyle w:val="FootnoteReference"/>
          <w:rFonts w:ascii="Arial" w:eastAsia="Times New Roman" w:hAnsi="Arial" w:cs="Arial"/>
          <w:sz w:val="24"/>
          <w:szCs w:val="24"/>
          <w:lang w:val="en-IE"/>
        </w:rPr>
        <w:footnoteReference w:id="9"/>
      </w:r>
      <w:r w:rsidRPr="00CD4F28">
        <w:rPr>
          <w:rFonts w:ascii="Arial" w:eastAsia="Times New Roman" w:hAnsi="Arial" w:cs="Arial"/>
          <w:sz w:val="24"/>
          <w:szCs w:val="24"/>
          <w:lang w:val="en-IE"/>
        </w:rPr>
        <w:t xml:space="preserve"> of the EU, as well as implementing rules giving effect to these will apply to the staff of the Authority. The Authority will also host seconded national experts</w:t>
      </w:r>
      <w:r w:rsidR="00E54BD9" w:rsidRPr="00CD4F28">
        <w:rPr>
          <w:rFonts w:ascii="Arial" w:eastAsia="Times New Roman" w:hAnsi="Arial" w:cs="Arial"/>
          <w:sz w:val="24"/>
          <w:szCs w:val="24"/>
          <w:lang w:val="en-IE"/>
        </w:rPr>
        <w:t>,</w:t>
      </w:r>
      <w:r w:rsidRPr="00CD4F28">
        <w:rPr>
          <w:rFonts w:ascii="Arial" w:eastAsia="Times New Roman" w:hAnsi="Arial" w:cs="Arial"/>
          <w:sz w:val="24"/>
          <w:szCs w:val="24"/>
          <w:lang w:val="en-IE"/>
        </w:rPr>
        <w:t xml:space="preserve"> including National Liaison Officers.</w:t>
      </w:r>
    </w:p>
    <w:p w14:paraId="54A601C9" w14:textId="77777777" w:rsidR="00A73694" w:rsidRPr="00CD4F28" w:rsidRDefault="00A73694"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p>
    <w:p w14:paraId="59F636F8" w14:textId="4918EB27" w:rsidR="00A73694" w:rsidRPr="00CD4F28" w:rsidRDefault="00A73694"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lastRenderedPageBreak/>
        <w:t>The ELA will continue selection and recruitment of experts in labour mobility and social security, but also professionals in human resources management, finance, communication, and ICT related areas.</w:t>
      </w:r>
    </w:p>
    <w:p w14:paraId="79D74CB1" w14:textId="77777777" w:rsidR="002B7CF9" w:rsidRPr="00CD4F28" w:rsidRDefault="002B7CF9" w:rsidP="00A73694">
      <w:pPr>
        <w:rPr>
          <w:rFonts w:ascii="Arial" w:eastAsia="Times New Roman" w:hAnsi="Arial" w:cs="Arial"/>
          <w:sz w:val="24"/>
          <w:szCs w:val="24"/>
          <w:highlight w:val="yellow"/>
          <w:lang w:val="en-IE"/>
        </w:rPr>
      </w:pPr>
    </w:p>
    <w:p w14:paraId="2E4A1317" w14:textId="1AA0823F" w:rsidR="000C0685" w:rsidRPr="00CD4F28" w:rsidRDefault="000C0685"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Human Resources activity </w:t>
      </w:r>
      <w:r w:rsidR="00A73694" w:rsidRPr="00CD4F28">
        <w:rPr>
          <w:rFonts w:ascii="Arial" w:eastAsia="Times New Roman" w:hAnsi="Arial" w:cs="Arial"/>
          <w:sz w:val="24"/>
          <w:szCs w:val="24"/>
          <w:lang w:val="en-IE"/>
        </w:rPr>
        <w:t xml:space="preserve">will also </w:t>
      </w:r>
      <w:r w:rsidRPr="00CD4F28">
        <w:rPr>
          <w:rFonts w:ascii="Arial" w:eastAsia="Times New Roman" w:hAnsi="Arial" w:cs="Arial"/>
          <w:sz w:val="24"/>
          <w:szCs w:val="24"/>
          <w:lang w:val="en-IE"/>
        </w:rPr>
        <w:t xml:space="preserve">cover </w:t>
      </w:r>
      <w:r w:rsidR="000823F8" w:rsidRPr="00CD4F28">
        <w:rPr>
          <w:rFonts w:ascii="Arial" w:eastAsia="Times New Roman" w:hAnsi="Arial" w:cs="Arial"/>
          <w:sz w:val="24"/>
          <w:szCs w:val="24"/>
          <w:lang w:val="en-IE"/>
        </w:rPr>
        <w:t xml:space="preserve">Authority’s </w:t>
      </w:r>
      <w:r w:rsidRPr="00CD4F28">
        <w:rPr>
          <w:rFonts w:ascii="Arial" w:eastAsia="Times New Roman" w:hAnsi="Arial" w:cs="Arial"/>
          <w:sz w:val="24"/>
          <w:szCs w:val="24"/>
          <w:lang w:val="en-IE"/>
        </w:rPr>
        <w:t>staff planning and repor</w:t>
      </w:r>
      <w:r w:rsidR="00A73694" w:rsidRPr="00CD4F28">
        <w:rPr>
          <w:rFonts w:ascii="Arial" w:eastAsia="Times New Roman" w:hAnsi="Arial" w:cs="Arial"/>
          <w:sz w:val="24"/>
          <w:szCs w:val="24"/>
          <w:lang w:val="en-IE"/>
        </w:rPr>
        <w:t>ting on an organisational basis</w:t>
      </w:r>
      <w:r w:rsidRPr="00CD4F28">
        <w:rPr>
          <w:rFonts w:ascii="Arial" w:eastAsia="Times New Roman" w:hAnsi="Arial" w:cs="Arial"/>
          <w:sz w:val="24"/>
          <w:szCs w:val="24"/>
          <w:lang w:val="en-IE"/>
        </w:rPr>
        <w:t>.</w:t>
      </w:r>
      <w:r w:rsidR="00E54BD9" w:rsidRPr="00CD4F28">
        <w:rPr>
          <w:rFonts w:ascii="Arial" w:eastAsia="Times New Roman" w:hAnsi="Arial" w:cs="Arial"/>
          <w:sz w:val="24"/>
          <w:szCs w:val="24"/>
          <w:lang w:val="en-IE"/>
        </w:rPr>
        <w:t xml:space="preserve"> </w:t>
      </w:r>
      <w:r w:rsidRPr="00CD4F28">
        <w:rPr>
          <w:rFonts w:ascii="Arial" w:eastAsia="Times New Roman" w:hAnsi="Arial" w:cs="Arial"/>
          <w:sz w:val="24"/>
          <w:szCs w:val="24"/>
          <w:lang w:val="en-IE"/>
        </w:rPr>
        <w:t>Other activities include: the management of personnel and payroll administration, in line with applicable rules and regulations; the management of staff welfare and well-being actions including matters related to individual well-being, schooling matters and the integration of staff in</w:t>
      </w:r>
      <w:r w:rsidR="000823F8" w:rsidRPr="00CD4F28">
        <w:rPr>
          <w:rFonts w:ascii="Arial" w:eastAsia="Times New Roman" w:hAnsi="Arial" w:cs="Arial"/>
          <w:sz w:val="24"/>
          <w:szCs w:val="24"/>
          <w:lang w:val="en-IE"/>
        </w:rPr>
        <w:t>itially in Brussels and following the move t</w:t>
      </w:r>
      <w:r w:rsidR="00A73694" w:rsidRPr="00CD4F28">
        <w:rPr>
          <w:rFonts w:ascii="Arial" w:eastAsia="Times New Roman" w:hAnsi="Arial" w:cs="Arial"/>
          <w:sz w:val="24"/>
          <w:szCs w:val="24"/>
          <w:lang w:val="en-IE"/>
        </w:rPr>
        <w:t>o the seat</w:t>
      </w:r>
      <w:r w:rsidRPr="00CD4F28">
        <w:rPr>
          <w:rFonts w:ascii="Arial" w:eastAsia="Times New Roman" w:hAnsi="Arial" w:cs="Arial"/>
          <w:sz w:val="24"/>
          <w:szCs w:val="24"/>
          <w:lang w:val="en-IE"/>
        </w:rPr>
        <w:t xml:space="preserve">; the management of performance appraisal, reclassification and related HR exercises to ensure that organisational objectives are met and that staff receive accurate feedback and recognition on their performance; and the management of </w:t>
      </w:r>
      <w:r w:rsidR="000823F8" w:rsidRPr="00CD4F28">
        <w:rPr>
          <w:rFonts w:ascii="Arial" w:eastAsia="Times New Roman" w:hAnsi="Arial" w:cs="Arial"/>
          <w:sz w:val="24"/>
          <w:szCs w:val="24"/>
          <w:lang w:val="en-IE"/>
        </w:rPr>
        <w:t xml:space="preserve">the Authority’s </w:t>
      </w:r>
      <w:r w:rsidRPr="00CD4F28">
        <w:rPr>
          <w:rFonts w:ascii="Arial" w:eastAsia="Times New Roman" w:hAnsi="Arial" w:cs="Arial"/>
          <w:sz w:val="24"/>
          <w:szCs w:val="24"/>
          <w:lang w:val="en-IE"/>
        </w:rPr>
        <w:t>learning and development function.</w:t>
      </w:r>
    </w:p>
    <w:p w14:paraId="3461CE0F" w14:textId="20530BD4" w:rsidR="00357947" w:rsidRPr="00CD4F28" w:rsidRDefault="00AB0238" w:rsidP="00D03DF3">
      <w:pPr>
        <w:pStyle w:val="Heading1"/>
        <w:numPr>
          <w:ilvl w:val="1"/>
          <w:numId w:val="5"/>
        </w:numPr>
      </w:pPr>
      <w:bookmarkStart w:id="60" w:name="_Toc23423362"/>
      <w:bookmarkStart w:id="61" w:name="_Toc23425465"/>
      <w:bookmarkStart w:id="62" w:name="_Toc40092208"/>
      <w:r w:rsidRPr="00CD4F28">
        <w:t>ICT</w:t>
      </w:r>
      <w:bookmarkEnd w:id="60"/>
      <w:bookmarkEnd w:id="61"/>
      <w:bookmarkEnd w:id="62"/>
    </w:p>
    <w:p w14:paraId="2FBEFA38" w14:textId="124098FB" w:rsidR="000C0685" w:rsidRPr="00CD4F28" w:rsidRDefault="00F30DD0" w:rsidP="00A73694">
      <w:pPr>
        <w:widowControl/>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In the </w:t>
      </w:r>
      <w:r w:rsidR="00C50353" w:rsidRPr="00CD4F28">
        <w:rPr>
          <w:rFonts w:ascii="Arial" w:eastAsia="Times New Roman" w:hAnsi="Arial" w:cs="Arial"/>
          <w:sz w:val="24"/>
          <w:szCs w:val="24"/>
          <w:lang w:val="en-IE"/>
        </w:rPr>
        <w:t xml:space="preserve">setting-up </w:t>
      </w:r>
      <w:r w:rsidRPr="00CD4F28">
        <w:rPr>
          <w:rFonts w:ascii="Arial" w:eastAsia="Times New Roman" w:hAnsi="Arial" w:cs="Arial"/>
          <w:sz w:val="24"/>
          <w:szCs w:val="24"/>
          <w:lang w:val="en-IE"/>
        </w:rPr>
        <w:t xml:space="preserve">phase the </w:t>
      </w:r>
      <w:r w:rsidR="00C50353" w:rsidRPr="00CD4F28">
        <w:rPr>
          <w:rFonts w:ascii="Arial" w:eastAsia="Times New Roman" w:hAnsi="Arial" w:cs="Arial"/>
          <w:sz w:val="24"/>
          <w:szCs w:val="24"/>
          <w:lang w:val="en-IE"/>
        </w:rPr>
        <w:t xml:space="preserve">Authority’s </w:t>
      </w:r>
      <w:r w:rsidRPr="00CD4F28">
        <w:rPr>
          <w:rFonts w:ascii="Arial" w:eastAsia="Times New Roman" w:hAnsi="Arial" w:cs="Arial"/>
          <w:sz w:val="24"/>
          <w:szCs w:val="24"/>
          <w:lang w:val="en-IE"/>
        </w:rPr>
        <w:t xml:space="preserve">operations </w:t>
      </w:r>
      <w:r w:rsidR="00174C3C" w:rsidRPr="00CD4F28">
        <w:rPr>
          <w:rFonts w:ascii="Arial" w:eastAsia="Times New Roman" w:hAnsi="Arial" w:cs="Arial"/>
          <w:sz w:val="24"/>
          <w:szCs w:val="24"/>
          <w:lang w:val="en-IE"/>
        </w:rPr>
        <w:t>utilise</w:t>
      </w:r>
      <w:r w:rsidRPr="00CD4F28">
        <w:rPr>
          <w:rFonts w:ascii="Arial" w:eastAsia="Times New Roman" w:hAnsi="Arial" w:cs="Arial"/>
          <w:sz w:val="24"/>
          <w:szCs w:val="24"/>
          <w:lang w:val="en-IE"/>
        </w:rPr>
        <w:t xml:space="preserve"> the Commission infrastructure </w:t>
      </w:r>
      <w:r w:rsidR="00174C3C" w:rsidRPr="00CD4F28">
        <w:rPr>
          <w:rFonts w:ascii="Arial" w:eastAsia="Times New Roman" w:hAnsi="Arial" w:cs="Arial"/>
          <w:sz w:val="24"/>
          <w:szCs w:val="24"/>
          <w:lang w:val="en-IE"/>
        </w:rPr>
        <w:t>in</w:t>
      </w:r>
      <w:r w:rsidRPr="00CD4F28">
        <w:rPr>
          <w:rFonts w:ascii="Arial" w:eastAsia="Times New Roman" w:hAnsi="Arial" w:cs="Arial"/>
          <w:sz w:val="24"/>
          <w:szCs w:val="24"/>
          <w:lang w:val="en-IE"/>
        </w:rPr>
        <w:t xml:space="preserve"> Brussels. In parallel,</w:t>
      </w:r>
      <w:r w:rsidR="00174C3C" w:rsidRPr="00CD4F28" w:rsidDel="00C50353">
        <w:rPr>
          <w:rFonts w:ascii="Arial" w:eastAsia="Times New Roman" w:hAnsi="Arial" w:cs="Arial"/>
          <w:sz w:val="24"/>
          <w:szCs w:val="24"/>
          <w:lang w:val="en-IE"/>
        </w:rPr>
        <w:t xml:space="preserve"> </w:t>
      </w:r>
      <w:r w:rsidR="00C50353" w:rsidRPr="00CD4F28">
        <w:rPr>
          <w:rFonts w:ascii="Arial" w:eastAsia="Times New Roman" w:hAnsi="Arial" w:cs="Arial"/>
          <w:sz w:val="24"/>
          <w:szCs w:val="24"/>
          <w:lang w:val="en-IE"/>
        </w:rPr>
        <w:t xml:space="preserve">the Authority </w:t>
      </w:r>
      <w:r w:rsidR="00174C3C" w:rsidRPr="00CD4F28">
        <w:rPr>
          <w:rFonts w:ascii="Arial" w:eastAsia="Times New Roman" w:hAnsi="Arial" w:cs="Arial"/>
          <w:sz w:val="24"/>
          <w:szCs w:val="24"/>
          <w:lang w:val="en-IE"/>
        </w:rPr>
        <w:t xml:space="preserve">will develop </w:t>
      </w:r>
      <w:r w:rsidRPr="00CD4F28">
        <w:rPr>
          <w:rFonts w:ascii="Arial" w:eastAsia="Times New Roman" w:hAnsi="Arial" w:cs="Arial"/>
          <w:sz w:val="24"/>
          <w:szCs w:val="24"/>
          <w:lang w:val="en-IE"/>
        </w:rPr>
        <w:t xml:space="preserve">the </w:t>
      </w:r>
      <w:r w:rsidR="00174C3C" w:rsidRPr="00CD4F28">
        <w:rPr>
          <w:rFonts w:ascii="Arial" w:eastAsia="Times New Roman" w:hAnsi="Arial" w:cs="Arial"/>
          <w:sz w:val="24"/>
          <w:szCs w:val="24"/>
          <w:lang w:val="en-IE"/>
        </w:rPr>
        <w:t>designs and solutions</w:t>
      </w:r>
      <w:r w:rsidRPr="00CD4F28">
        <w:rPr>
          <w:rFonts w:ascii="Arial" w:eastAsia="Times New Roman" w:hAnsi="Arial" w:cs="Arial"/>
          <w:sz w:val="24"/>
          <w:szCs w:val="24"/>
          <w:lang w:val="en-IE"/>
        </w:rPr>
        <w:t xml:space="preserve"> necessary</w:t>
      </w:r>
      <w:r w:rsidR="002B57F1" w:rsidRPr="00CD4F28">
        <w:rPr>
          <w:rFonts w:ascii="Arial" w:eastAsia="Times New Roman" w:hAnsi="Arial" w:cs="Arial"/>
          <w:sz w:val="24"/>
          <w:szCs w:val="24"/>
          <w:lang w:val="en-IE"/>
        </w:rPr>
        <w:t xml:space="preserve"> </w:t>
      </w:r>
      <w:r w:rsidR="00174C3C" w:rsidRPr="00CD4F28">
        <w:rPr>
          <w:rFonts w:ascii="Arial" w:eastAsia="Times New Roman" w:hAnsi="Arial" w:cs="Arial"/>
          <w:sz w:val="24"/>
          <w:szCs w:val="24"/>
          <w:lang w:val="en-IE"/>
        </w:rPr>
        <w:t xml:space="preserve">to </w:t>
      </w:r>
      <w:r w:rsidR="002B57F1" w:rsidRPr="00CD4F28">
        <w:rPr>
          <w:rFonts w:ascii="Arial" w:eastAsia="Times New Roman" w:hAnsi="Arial" w:cs="Arial"/>
          <w:sz w:val="24"/>
          <w:szCs w:val="24"/>
          <w:lang w:val="en-IE"/>
        </w:rPr>
        <w:t>establish ICT</w:t>
      </w:r>
      <w:r w:rsidR="008C08BC" w:rsidRPr="00CD4F28">
        <w:rPr>
          <w:rFonts w:ascii="Arial" w:eastAsia="Times New Roman" w:hAnsi="Arial" w:cs="Arial"/>
          <w:sz w:val="24"/>
          <w:szCs w:val="24"/>
          <w:lang w:val="en-IE"/>
        </w:rPr>
        <w:t xml:space="preserve"> infrastructure in the new seat. T</w:t>
      </w:r>
      <w:r w:rsidR="00174C3C" w:rsidRPr="00CD4F28">
        <w:rPr>
          <w:rFonts w:ascii="Arial" w:eastAsia="Times New Roman" w:hAnsi="Arial" w:cs="Arial"/>
          <w:sz w:val="24"/>
          <w:szCs w:val="24"/>
          <w:lang w:val="en-IE"/>
        </w:rPr>
        <w:t xml:space="preserve">his </w:t>
      </w:r>
      <w:r w:rsidRPr="00CD4F28">
        <w:rPr>
          <w:rFonts w:ascii="Arial" w:eastAsia="Times New Roman" w:hAnsi="Arial" w:cs="Arial"/>
          <w:sz w:val="24"/>
          <w:szCs w:val="24"/>
          <w:lang w:val="en-IE"/>
        </w:rPr>
        <w:t>will include</w:t>
      </w:r>
      <w:r w:rsidR="00C50353" w:rsidRPr="00CD4F28">
        <w:rPr>
          <w:rFonts w:ascii="Arial" w:eastAsia="Times New Roman" w:hAnsi="Arial" w:cs="Arial"/>
          <w:sz w:val="24"/>
          <w:szCs w:val="24"/>
          <w:lang w:val="en-IE"/>
        </w:rPr>
        <w:t xml:space="preserve"> the following activities</w:t>
      </w:r>
      <w:r w:rsidRPr="00CD4F28">
        <w:rPr>
          <w:rFonts w:ascii="Arial" w:eastAsia="Times New Roman" w:hAnsi="Arial" w:cs="Arial"/>
          <w:sz w:val="24"/>
          <w:szCs w:val="24"/>
          <w:lang w:val="en-IE"/>
        </w:rPr>
        <w:t xml:space="preserve">: </w:t>
      </w:r>
    </w:p>
    <w:p w14:paraId="018C92FB" w14:textId="3047FE47" w:rsidR="00174C3C" w:rsidRPr="00CD4F28" w:rsidRDefault="00174C3C" w:rsidP="00D03DF3">
      <w:pPr>
        <w:pStyle w:val="ListParagraph"/>
        <w:widowControl/>
        <w:numPr>
          <w:ilvl w:val="0"/>
          <w:numId w:val="13"/>
        </w:numPr>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Review the requirements of </w:t>
      </w:r>
      <w:r w:rsidR="00C50353" w:rsidRPr="00CD4F28">
        <w:rPr>
          <w:rFonts w:ascii="Arial" w:eastAsia="Times New Roman" w:hAnsi="Arial" w:cs="Arial"/>
          <w:sz w:val="24"/>
          <w:szCs w:val="24"/>
          <w:lang w:val="en-IE"/>
        </w:rPr>
        <w:t>the Authority</w:t>
      </w:r>
      <w:r w:rsidRPr="00CD4F28">
        <w:rPr>
          <w:rFonts w:ascii="Arial" w:eastAsia="Times New Roman" w:hAnsi="Arial" w:cs="Arial"/>
          <w:sz w:val="24"/>
          <w:szCs w:val="24"/>
          <w:lang w:val="en-IE"/>
        </w:rPr>
        <w:t xml:space="preserve">, to ensure that </w:t>
      </w:r>
      <w:r w:rsidR="008C08BC" w:rsidRPr="00CD4F28">
        <w:rPr>
          <w:rFonts w:ascii="Arial" w:eastAsia="Times New Roman" w:hAnsi="Arial" w:cs="Arial"/>
          <w:sz w:val="24"/>
          <w:szCs w:val="24"/>
          <w:lang w:val="en-IE"/>
        </w:rPr>
        <w:t>the</w:t>
      </w:r>
      <w:r w:rsidRPr="00CD4F28">
        <w:rPr>
          <w:rFonts w:ascii="Arial" w:eastAsia="Times New Roman" w:hAnsi="Arial" w:cs="Arial"/>
          <w:sz w:val="24"/>
          <w:szCs w:val="24"/>
          <w:lang w:val="en-IE"/>
        </w:rPr>
        <w:t xml:space="preserve"> applicable business requirements are considered during the design and architecture phase</w:t>
      </w:r>
      <w:r w:rsidR="00C50353" w:rsidRPr="00CD4F28">
        <w:rPr>
          <w:rFonts w:ascii="Arial" w:eastAsia="Times New Roman" w:hAnsi="Arial" w:cs="Arial"/>
          <w:sz w:val="24"/>
          <w:szCs w:val="24"/>
          <w:lang w:val="en-IE"/>
        </w:rPr>
        <w:t>, and</w:t>
      </w:r>
      <w:r w:rsidRPr="00CD4F28">
        <w:rPr>
          <w:rFonts w:ascii="Arial" w:eastAsia="Times New Roman" w:hAnsi="Arial" w:cs="Arial"/>
          <w:sz w:val="24"/>
          <w:szCs w:val="24"/>
          <w:lang w:val="en-IE"/>
        </w:rPr>
        <w:t xml:space="preserve"> to be able to confirm that these requirements are met post deployment.</w:t>
      </w:r>
    </w:p>
    <w:p w14:paraId="778AE290" w14:textId="5EAEA126" w:rsidR="00F30DD0" w:rsidRPr="00CD4F28" w:rsidRDefault="00F30DD0" w:rsidP="00D03DF3">
      <w:pPr>
        <w:pStyle w:val="ListParagraph"/>
        <w:widowControl/>
        <w:numPr>
          <w:ilvl w:val="0"/>
          <w:numId w:val="13"/>
        </w:numPr>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Assess the available ICT solutions and technologies and </w:t>
      </w:r>
      <w:r w:rsidR="00AB2930" w:rsidRPr="00CD4F28">
        <w:rPr>
          <w:rFonts w:ascii="Arial" w:eastAsia="Times New Roman" w:hAnsi="Arial" w:cs="Arial"/>
          <w:sz w:val="24"/>
          <w:szCs w:val="24"/>
          <w:lang w:val="en-IE"/>
        </w:rPr>
        <w:t>recommend</w:t>
      </w:r>
      <w:r w:rsidRPr="00CD4F28">
        <w:rPr>
          <w:rFonts w:ascii="Arial" w:eastAsia="Times New Roman" w:hAnsi="Arial" w:cs="Arial"/>
          <w:sz w:val="24"/>
          <w:szCs w:val="24"/>
          <w:lang w:val="en-IE"/>
        </w:rPr>
        <w:t xml:space="preserve"> </w:t>
      </w:r>
      <w:r w:rsidR="00AB2930" w:rsidRPr="00CD4F28">
        <w:rPr>
          <w:rFonts w:ascii="Arial" w:eastAsia="Times New Roman" w:hAnsi="Arial" w:cs="Arial"/>
          <w:sz w:val="24"/>
          <w:szCs w:val="24"/>
          <w:lang w:val="en-IE"/>
        </w:rPr>
        <w:t xml:space="preserve">based </w:t>
      </w:r>
      <w:r w:rsidRPr="00CD4F28">
        <w:rPr>
          <w:rFonts w:ascii="Arial" w:eastAsia="Times New Roman" w:hAnsi="Arial" w:cs="Arial"/>
          <w:sz w:val="24"/>
          <w:szCs w:val="24"/>
          <w:lang w:val="en-IE"/>
        </w:rPr>
        <w:t xml:space="preserve">on the </w:t>
      </w:r>
      <w:r w:rsidR="00AB2930" w:rsidRPr="00CD4F28">
        <w:rPr>
          <w:rFonts w:ascii="Arial" w:eastAsia="Times New Roman" w:hAnsi="Arial" w:cs="Arial"/>
          <w:sz w:val="24"/>
          <w:szCs w:val="24"/>
          <w:lang w:val="en-IE"/>
        </w:rPr>
        <w:t>requirements and available funding the recommended architecture and solutions</w:t>
      </w:r>
      <w:r w:rsidRPr="00CD4F28">
        <w:rPr>
          <w:rFonts w:ascii="Arial" w:eastAsia="Times New Roman" w:hAnsi="Arial" w:cs="Arial"/>
          <w:sz w:val="24"/>
          <w:szCs w:val="24"/>
          <w:lang w:val="en-IE"/>
        </w:rPr>
        <w:t xml:space="preserve"> portfolio; this includes the </w:t>
      </w:r>
      <w:r w:rsidR="00AB2930" w:rsidRPr="00CD4F28">
        <w:rPr>
          <w:rFonts w:ascii="Arial" w:eastAsia="Times New Roman" w:hAnsi="Arial" w:cs="Arial"/>
          <w:sz w:val="24"/>
          <w:szCs w:val="24"/>
          <w:lang w:val="en-IE"/>
        </w:rPr>
        <w:t>evaluation</w:t>
      </w:r>
      <w:r w:rsidRPr="00CD4F28">
        <w:rPr>
          <w:rFonts w:ascii="Arial" w:eastAsia="Times New Roman" w:hAnsi="Arial" w:cs="Arial"/>
          <w:sz w:val="24"/>
          <w:szCs w:val="24"/>
          <w:lang w:val="en-IE"/>
        </w:rPr>
        <w:t xml:space="preserve"> between on-premises</w:t>
      </w:r>
      <w:r w:rsidR="00AB2930" w:rsidRPr="00CD4F28">
        <w:rPr>
          <w:rFonts w:ascii="Arial" w:eastAsia="Times New Roman" w:hAnsi="Arial" w:cs="Arial"/>
          <w:sz w:val="24"/>
          <w:szCs w:val="24"/>
          <w:lang w:val="en-IE"/>
        </w:rPr>
        <w:t>, managed hosting or</w:t>
      </w:r>
      <w:r w:rsidRPr="00CD4F28">
        <w:rPr>
          <w:rFonts w:ascii="Arial" w:eastAsia="Times New Roman" w:hAnsi="Arial" w:cs="Arial"/>
          <w:sz w:val="24"/>
          <w:szCs w:val="24"/>
          <w:lang w:val="en-IE"/>
        </w:rPr>
        <w:t xml:space="preserve"> cloud-based solutions.</w:t>
      </w:r>
    </w:p>
    <w:p w14:paraId="5F0701C1" w14:textId="4751388B" w:rsidR="00F30DD0" w:rsidRPr="00CD4F28" w:rsidRDefault="00AB2930" w:rsidP="00D03DF3">
      <w:pPr>
        <w:pStyle w:val="ListParagraph"/>
        <w:widowControl/>
        <w:numPr>
          <w:ilvl w:val="0"/>
          <w:numId w:val="13"/>
        </w:numPr>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D</w:t>
      </w:r>
      <w:r w:rsidR="00F30DD0" w:rsidRPr="00CD4F28">
        <w:rPr>
          <w:rFonts w:ascii="Arial" w:eastAsia="Times New Roman" w:hAnsi="Arial" w:cs="Arial"/>
          <w:sz w:val="24"/>
          <w:szCs w:val="24"/>
          <w:lang w:val="en-IE"/>
        </w:rPr>
        <w:t xml:space="preserve">evelop </w:t>
      </w:r>
      <w:r w:rsidRPr="00CD4F28">
        <w:rPr>
          <w:rFonts w:ascii="Arial" w:eastAsia="Times New Roman" w:hAnsi="Arial" w:cs="Arial"/>
          <w:sz w:val="24"/>
          <w:szCs w:val="24"/>
          <w:lang w:val="en-IE"/>
        </w:rPr>
        <w:t>an</w:t>
      </w:r>
      <w:r w:rsidR="00F30DD0" w:rsidRPr="00CD4F28">
        <w:rPr>
          <w:rFonts w:ascii="Arial" w:eastAsia="Times New Roman" w:hAnsi="Arial" w:cs="Arial"/>
          <w:sz w:val="24"/>
          <w:szCs w:val="24"/>
          <w:lang w:val="en-IE"/>
        </w:rPr>
        <w:t xml:space="preserve"> ICT strategy and portfolio management </w:t>
      </w:r>
      <w:r w:rsidRPr="00CD4F28">
        <w:rPr>
          <w:rFonts w:ascii="Arial" w:eastAsia="Times New Roman" w:hAnsi="Arial" w:cs="Arial"/>
          <w:sz w:val="24"/>
          <w:szCs w:val="24"/>
          <w:lang w:val="en-IE"/>
        </w:rPr>
        <w:t>programme</w:t>
      </w:r>
      <w:r w:rsidR="00F30DD0" w:rsidRPr="00CD4F28">
        <w:rPr>
          <w:rFonts w:ascii="Arial" w:eastAsia="Times New Roman" w:hAnsi="Arial" w:cs="Arial"/>
          <w:sz w:val="24"/>
          <w:szCs w:val="24"/>
          <w:lang w:val="en-IE"/>
        </w:rPr>
        <w:t xml:space="preserve"> of the </w:t>
      </w:r>
      <w:r w:rsidR="00C50353" w:rsidRPr="00CD4F28">
        <w:rPr>
          <w:rFonts w:ascii="Arial" w:eastAsia="Times New Roman" w:hAnsi="Arial" w:cs="Arial"/>
          <w:sz w:val="24"/>
          <w:szCs w:val="24"/>
          <w:lang w:val="en-IE"/>
        </w:rPr>
        <w:t>Authority</w:t>
      </w:r>
      <w:r w:rsidR="00F30DD0" w:rsidRPr="00CD4F28">
        <w:rPr>
          <w:rFonts w:ascii="Arial" w:eastAsia="Times New Roman" w:hAnsi="Arial" w:cs="Arial"/>
          <w:sz w:val="24"/>
          <w:szCs w:val="24"/>
          <w:lang w:val="en-IE"/>
        </w:rPr>
        <w:t xml:space="preserve">, including the development of an ICT information architecture </w:t>
      </w:r>
      <w:r w:rsidRPr="00CD4F28">
        <w:rPr>
          <w:rFonts w:ascii="Arial" w:eastAsia="Times New Roman" w:hAnsi="Arial" w:cs="Arial"/>
          <w:sz w:val="24"/>
          <w:szCs w:val="24"/>
          <w:lang w:val="en-IE"/>
        </w:rPr>
        <w:t>and outline delivery plans, with a view to ensuring these are in alignment with plans for readiness and deadlines for moving to the new seat.</w:t>
      </w:r>
    </w:p>
    <w:p w14:paraId="0BB0D845" w14:textId="30BA6046" w:rsidR="00F30DD0" w:rsidRPr="00CD4F28" w:rsidRDefault="00164DFE" w:rsidP="00D03DF3">
      <w:pPr>
        <w:pStyle w:val="ListParagraph"/>
        <w:widowControl/>
        <w:numPr>
          <w:ilvl w:val="0"/>
          <w:numId w:val="13"/>
        </w:numPr>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Commissioning the ICT Strategy and agreed designs, establishing</w:t>
      </w:r>
      <w:r w:rsidR="00F30DD0" w:rsidRPr="00CD4F28">
        <w:rPr>
          <w:rFonts w:ascii="Arial" w:eastAsia="Times New Roman" w:hAnsi="Arial" w:cs="Arial"/>
          <w:sz w:val="24"/>
          <w:szCs w:val="24"/>
          <w:lang w:val="en-IE"/>
        </w:rPr>
        <w:t xml:space="preserve"> the ICT </w:t>
      </w:r>
      <w:r w:rsidR="002F26CA" w:rsidRPr="00CD4F28">
        <w:rPr>
          <w:rFonts w:ascii="Arial" w:eastAsia="Times New Roman" w:hAnsi="Arial" w:cs="Arial"/>
          <w:sz w:val="24"/>
          <w:szCs w:val="24"/>
          <w:lang w:val="en-IE"/>
        </w:rPr>
        <w:t xml:space="preserve">infrastructure and the </w:t>
      </w:r>
      <w:r w:rsidR="00C50353" w:rsidRPr="00CD4F28">
        <w:rPr>
          <w:rFonts w:ascii="Arial" w:eastAsia="Times New Roman" w:hAnsi="Arial" w:cs="Arial"/>
          <w:sz w:val="24"/>
          <w:szCs w:val="24"/>
          <w:lang w:val="en-IE"/>
        </w:rPr>
        <w:t>Authority</w:t>
      </w:r>
      <w:r w:rsidR="002F26CA" w:rsidRPr="00CD4F28">
        <w:rPr>
          <w:rFonts w:ascii="Arial" w:eastAsia="Times New Roman" w:hAnsi="Arial" w:cs="Arial"/>
          <w:sz w:val="24"/>
          <w:szCs w:val="24"/>
          <w:lang w:val="en-IE"/>
        </w:rPr>
        <w:t>’s ICT Services</w:t>
      </w:r>
      <w:r w:rsidR="00F30DD0" w:rsidRPr="00CD4F28">
        <w:rPr>
          <w:rFonts w:ascii="Arial" w:eastAsia="Times New Roman" w:hAnsi="Arial" w:cs="Arial"/>
          <w:sz w:val="24"/>
          <w:szCs w:val="24"/>
          <w:lang w:val="en-IE"/>
        </w:rPr>
        <w:t xml:space="preserve"> to ensure that all systems operat</w:t>
      </w:r>
      <w:r w:rsidR="00BA5CF4" w:rsidRPr="00CD4F28">
        <w:rPr>
          <w:rFonts w:ascii="Arial" w:eastAsia="Times New Roman" w:hAnsi="Arial" w:cs="Arial"/>
          <w:sz w:val="24"/>
          <w:szCs w:val="24"/>
          <w:lang w:val="en-IE"/>
        </w:rPr>
        <w:t>e</w:t>
      </w:r>
      <w:r w:rsidR="00F30DD0" w:rsidRPr="00CD4F28">
        <w:rPr>
          <w:rFonts w:ascii="Arial" w:eastAsia="Times New Roman" w:hAnsi="Arial" w:cs="Arial"/>
          <w:sz w:val="24"/>
          <w:szCs w:val="24"/>
          <w:lang w:val="en-IE"/>
        </w:rPr>
        <w:t xml:space="preserve"> </w:t>
      </w:r>
      <w:r w:rsidR="002F26CA" w:rsidRPr="00CD4F28">
        <w:rPr>
          <w:rFonts w:ascii="Arial" w:eastAsia="Times New Roman" w:hAnsi="Arial" w:cs="Arial"/>
          <w:sz w:val="24"/>
          <w:szCs w:val="24"/>
          <w:lang w:val="en-IE"/>
        </w:rPr>
        <w:t>at</w:t>
      </w:r>
      <w:r w:rsidR="00F30DD0" w:rsidRPr="00CD4F28">
        <w:rPr>
          <w:rFonts w:ascii="Arial" w:eastAsia="Times New Roman" w:hAnsi="Arial" w:cs="Arial"/>
          <w:sz w:val="24"/>
          <w:szCs w:val="24"/>
          <w:lang w:val="en-IE"/>
        </w:rPr>
        <w:t xml:space="preserve"> optimal performance, availability and reliability according to the technical specifications, operating procedures and security regulations of </w:t>
      </w:r>
      <w:r w:rsidR="00C50353" w:rsidRPr="00CD4F28">
        <w:rPr>
          <w:rFonts w:ascii="Arial" w:eastAsia="Times New Roman" w:hAnsi="Arial" w:cs="Arial"/>
          <w:sz w:val="24"/>
          <w:szCs w:val="24"/>
          <w:lang w:val="en-IE"/>
        </w:rPr>
        <w:t>the Commission</w:t>
      </w:r>
      <w:r w:rsidR="00BA5CF4" w:rsidRPr="00CD4F28">
        <w:rPr>
          <w:rFonts w:ascii="Arial" w:eastAsia="Times New Roman" w:hAnsi="Arial" w:cs="Arial"/>
          <w:sz w:val="24"/>
          <w:szCs w:val="24"/>
          <w:lang w:val="en-IE"/>
        </w:rPr>
        <w:t>.</w:t>
      </w:r>
    </w:p>
    <w:p w14:paraId="762C76E2" w14:textId="0D280D6C" w:rsidR="002F26CA" w:rsidRPr="00CD4F28" w:rsidRDefault="002F26CA" w:rsidP="00D03DF3">
      <w:pPr>
        <w:pStyle w:val="ListParagraph"/>
        <w:widowControl/>
        <w:numPr>
          <w:ilvl w:val="0"/>
          <w:numId w:val="13"/>
        </w:numPr>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 xml:space="preserve">Establish Cyber protect strategy and deploy this to ensure the infrastructure is appropriately protected against </w:t>
      </w:r>
      <w:r w:rsidR="00BA5CF4" w:rsidRPr="00CD4F28">
        <w:rPr>
          <w:rFonts w:ascii="Arial" w:eastAsia="Times New Roman" w:hAnsi="Arial" w:cs="Arial"/>
          <w:sz w:val="24"/>
          <w:szCs w:val="24"/>
          <w:lang w:val="en-IE"/>
        </w:rPr>
        <w:t>cyber-attack</w:t>
      </w:r>
      <w:r w:rsidR="00C50353" w:rsidRPr="00CD4F28">
        <w:rPr>
          <w:rFonts w:ascii="Arial" w:eastAsia="Times New Roman" w:hAnsi="Arial" w:cs="Arial"/>
          <w:sz w:val="24"/>
          <w:szCs w:val="24"/>
          <w:lang w:val="en-IE"/>
        </w:rPr>
        <w:t>s</w:t>
      </w:r>
      <w:r w:rsidRPr="00CD4F28">
        <w:rPr>
          <w:rFonts w:ascii="Arial" w:eastAsia="Times New Roman" w:hAnsi="Arial" w:cs="Arial"/>
          <w:sz w:val="24"/>
          <w:szCs w:val="24"/>
          <w:lang w:val="en-IE"/>
        </w:rPr>
        <w:t xml:space="preserve"> and suitable monitoring is operational to proactively manage any </w:t>
      </w:r>
      <w:r w:rsidR="00BA5CF4" w:rsidRPr="00CD4F28">
        <w:rPr>
          <w:rFonts w:ascii="Arial" w:eastAsia="Times New Roman" w:hAnsi="Arial" w:cs="Arial"/>
          <w:sz w:val="24"/>
          <w:szCs w:val="24"/>
          <w:lang w:val="en-IE"/>
        </w:rPr>
        <w:t xml:space="preserve">such </w:t>
      </w:r>
      <w:r w:rsidRPr="00CD4F28">
        <w:rPr>
          <w:rFonts w:ascii="Arial" w:eastAsia="Times New Roman" w:hAnsi="Arial" w:cs="Arial"/>
          <w:sz w:val="24"/>
          <w:szCs w:val="24"/>
          <w:lang w:val="en-IE"/>
        </w:rPr>
        <w:t>potential or real attacks.</w:t>
      </w:r>
    </w:p>
    <w:p w14:paraId="1A659773" w14:textId="247B3EC5" w:rsidR="00F30DD0" w:rsidRPr="00CD4F28" w:rsidRDefault="00BA5CF4" w:rsidP="00D03DF3">
      <w:pPr>
        <w:pStyle w:val="ListParagraph"/>
        <w:widowControl/>
        <w:numPr>
          <w:ilvl w:val="0"/>
          <w:numId w:val="13"/>
        </w:numPr>
        <w:tabs>
          <w:tab w:val="left" w:pos="0"/>
        </w:tabs>
        <w:autoSpaceDE/>
        <w:autoSpaceDN/>
        <w:spacing w:before="240" w:after="240" w:line="276" w:lineRule="auto"/>
        <w:contextualSpacing/>
        <w:jc w:val="both"/>
        <w:rPr>
          <w:rFonts w:ascii="Arial" w:eastAsia="Times New Roman" w:hAnsi="Arial" w:cs="Arial"/>
          <w:sz w:val="24"/>
          <w:szCs w:val="24"/>
          <w:lang w:val="en-IE"/>
        </w:rPr>
      </w:pPr>
      <w:r w:rsidRPr="00CD4F28">
        <w:rPr>
          <w:rFonts w:ascii="Arial" w:eastAsia="Times New Roman" w:hAnsi="Arial" w:cs="Arial"/>
          <w:sz w:val="24"/>
          <w:szCs w:val="24"/>
          <w:lang w:val="en-IE"/>
        </w:rPr>
        <w:t>D</w:t>
      </w:r>
      <w:r w:rsidR="00F30DD0" w:rsidRPr="00CD4F28">
        <w:rPr>
          <w:rFonts w:ascii="Arial" w:eastAsia="Times New Roman" w:hAnsi="Arial" w:cs="Arial"/>
          <w:sz w:val="24"/>
          <w:szCs w:val="24"/>
          <w:lang w:val="en-IE"/>
        </w:rPr>
        <w:t>esigning of the necessary ICT operations activities</w:t>
      </w:r>
      <w:r w:rsidRPr="00CD4F28">
        <w:rPr>
          <w:rFonts w:ascii="Arial" w:eastAsia="Times New Roman" w:hAnsi="Arial" w:cs="Arial"/>
          <w:sz w:val="24"/>
          <w:szCs w:val="24"/>
          <w:lang w:val="en-IE"/>
        </w:rPr>
        <w:t xml:space="preserve">, </w:t>
      </w:r>
      <w:r w:rsidR="00F30DD0" w:rsidRPr="00CD4F28">
        <w:rPr>
          <w:rFonts w:ascii="Arial" w:eastAsia="Times New Roman" w:hAnsi="Arial" w:cs="Arial"/>
          <w:sz w:val="24"/>
          <w:szCs w:val="24"/>
          <w:lang w:val="en-IE"/>
        </w:rPr>
        <w:t xml:space="preserve">such as </w:t>
      </w:r>
      <w:r w:rsidRPr="00CD4F28">
        <w:rPr>
          <w:rFonts w:ascii="Arial" w:eastAsia="Times New Roman" w:hAnsi="Arial" w:cs="Arial"/>
          <w:sz w:val="24"/>
          <w:szCs w:val="24"/>
          <w:lang w:val="en-IE"/>
        </w:rPr>
        <w:t>but not limited to,</w:t>
      </w:r>
      <w:r w:rsidR="00F30DD0" w:rsidRPr="00CD4F28">
        <w:rPr>
          <w:rFonts w:ascii="Arial" w:eastAsia="Times New Roman" w:hAnsi="Arial" w:cs="Arial"/>
          <w:sz w:val="24"/>
          <w:szCs w:val="24"/>
          <w:lang w:val="en-IE"/>
        </w:rPr>
        <w:t xml:space="preserve"> maintenance of information systems, management of the infrastructure, helpdesk coordination, security coordination of the Authority</w:t>
      </w:r>
      <w:r w:rsidR="00C50353" w:rsidRPr="00CD4F28">
        <w:rPr>
          <w:rFonts w:ascii="Arial" w:eastAsia="Times New Roman" w:hAnsi="Arial" w:cs="Arial"/>
          <w:sz w:val="24"/>
          <w:szCs w:val="24"/>
          <w:lang w:val="en-IE"/>
        </w:rPr>
        <w:t>.</w:t>
      </w:r>
    </w:p>
    <w:p w14:paraId="34F9C680" w14:textId="77777777" w:rsidR="00CF5457" w:rsidRPr="00CD4F28" w:rsidRDefault="00CF5457" w:rsidP="00A73694">
      <w:pPr>
        <w:rPr>
          <w:rFonts w:ascii="Arial" w:hAnsi="Arial" w:cs="Arial"/>
          <w:sz w:val="24"/>
          <w:szCs w:val="24"/>
          <w:highlight w:val="yellow"/>
          <w:lang w:val="en-IE" w:bidi="ar-SA"/>
        </w:rPr>
      </w:pPr>
    </w:p>
    <w:p w14:paraId="484F562C" w14:textId="77777777" w:rsidR="006413F6" w:rsidRPr="00CD4F28" w:rsidRDefault="006413F6" w:rsidP="00A73694">
      <w:pPr>
        <w:rPr>
          <w:rFonts w:ascii="Arial" w:eastAsia="Times New Roman" w:hAnsi="Arial" w:cs="Arial"/>
          <w:sz w:val="24"/>
          <w:szCs w:val="24"/>
          <w:lang w:val="en-IE"/>
        </w:rPr>
      </w:pPr>
      <w:r w:rsidRPr="00CD4F28">
        <w:rPr>
          <w:rFonts w:ascii="Arial" w:eastAsia="Times New Roman" w:hAnsi="Arial" w:cs="Arial"/>
          <w:sz w:val="24"/>
          <w:szCs w:val="24"/>
          <w:lang w:val="en-IE"/>
        </w:rPr>
        <w:br w:type="page"/>
      </w:r>
    </w:p>
    <w:p w14:paraId="087F4140" w14:textId="70A36B11" w:rsidR="00E813D6" w:rsidRPr="00CD4F28" w:rsidRDefault="00E813D6" w:rsidP="00A73694">
      <w:pPr>
        <w:rPr>
          <w:rFonts w:ascii="Arial" w:eastAsia="Times New Roman" w:hAnsi="Arial" w:cs="Arial"/>
          <w:sz w:val="24"/>
          <w:szCs w:val="24"/>
          <w:lang w:val="en-IE"/>
        </w:rPr>
      </w:pPr>
    </w:p>
    <w:p w14:paraId="2774EC34" w14:textId="01E50603" w:rsidR="00E813D6" w:rsidRPr="00CD4F28" w:rsidRDefault="00AB4D4A" w:rsidP="00A73694">
      <w:pPr>
        <w:widowControl/>
        <w:tabs>
          <w:tab w:val="left" w:pos="0"/>
        </w:tabs>
        <w:autoSpaceDE/>
        <w:autoSpaceDN/>
        <w:spacing w:before="240" w:after="240"/>
        <w:contextualSpacing/>
        <w:jc w:val="both"/>
        <w:rPr>
          <w:rFonts w:ascii="Arial" w:eastAsia="Times New Roman" w:hAnsi="Arial" w:cs="Arial"/>
          <w:sz w:val="24"/>
          <w:szCs w:val="24"/>
          <w:lang w:val="en-IE"/>
        </w:rPr>
      </w:pPr>
      <w:r>
        <w:rPr>
          <w:rFonts w:ascii="Arial" w:hAnsi="Arial" w:cs="Arial"/>
          <w:noProof/>
          <w:sz w:val="24"/>
          <w:szCs w:val="24"/>
        </w:rPr>
        <w:pict w14:anchorId="2E80C6A1">
          <v:shape id="Isosceles Triangle 13" o:spid="_x0000_s1030" type="#_x0000_t5" style="position:absolute;left:0;text-align:left;margin-left:-370.8pt;margin-top:-353.65pt;width:745.95pt;height:1200.55pt;z-index:-251658237;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154a7" strokecolor="#0154a7" strokeweight="2pt"/>
        </w:pict>
      </w:r>
    </w:p>
    <w:sectPr w:rsidR="00E813D6" w:rsidRPr="00CD4F28" w:rsidSect="00CD4F28">
      <w:type w:val="continuous"/>
      <w:pgSz w:w="11910" w:h="16840"/>
      <w:pgMar w:top="1440" w:right="1276" w:bottom="1418" w:left="1276"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D4D45" w14:textId="77777777" w:rsidR="005A2B43" w:rsidRDefault="005A2B43" w:rsidP="009D2B1C">
      <w:r>
        <w:separator/>
      </w:r>
    </w:p>
    <w:p w14:paraId="19A090A6" w14:textId="77777777" w:rsidR="005A2B43" w:rsidRDefault="005A2B43"/>
  </w:endnote>
  <w:endnote w:type="continuationSeparator" w:id="0">
    <w:p w14:paraId="7EF821BF" w14:textId="77777777" w:rsidR="005A2B43" w:rsidRDefault="005A2B43" w:rsidP="009D2B1C">
      <w:r>
        <w:continuationSeparator/>
      </w:r>
    </w:p>
    <w:p w14:paraId="76FC394F" w14:textId="77777777" w:rsidR="005A2B43" w:rsidRDefault="005A2B43"/>
  </w:endnote>
  <w:endnote w:type="continuationNotice" w:id="1">
    <w:p w14:paraId="28475061" w14:textId="77777777" w:rsidR="005A2B43" w:rsidRDefault="005A2B43"/>
    <w:p w14:paraId="1E37F0A9" w14:textId="77777777" w:rsidR="005A2B43" w:rsidRDefault="005A2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06171002"/>
      <w:docPartObj>
        <w:docPartGallery w:val="Page Numbers (Bottom of Page)"/>
        <w:docPartUnique/>
      </w:docPartObj>
    </w:sdtPr>
    <w:sdtEndPr>
      <w:rPr>
        <w:noProof/>
      </w:rPr>
    </w:sdtEndPr>
    <w:sdtContent>
      <w:p w14:paraId="1A9D29DD" w14:textId="36550F3D" w:rsidR="005A2B43" w:rsidRPr="00B45958" w:rsidRDefault="005A2B43" w:rsidP="00CD4F28">
        <w:pPr>
          <w:pStyle w:val="Footer"/>
          <w:jc w:val="center"/>
          <w:rPr>
            <w:rFonts w:ascii="Arial" w:hAnsi="Arial" w:cs="Arial"/>
          </w:rPr>
        </w:pPr>
        <w:r w:rsidRPr="00B45958">
          <w:rPr>
            <w:rFonts w:ascii="Arial" w:hAnsi="Arial" w:cs="Arial"/>
          </w:rPr>
          <w:fldChar w:fldCharType="begin"/>
        </w:r>
        <w:r w:rsidRPr="00B45958">
          <w:rPr>
            <w:rFonts w:ascii="Arial" w:hAnsi="Arial" w:cs="Arial"/>
          </w:rPr>
          <w:instrText xml:space="preserve"> PAGE   \* MERGEFORMAT </w:instrText>
        </w:r>
        <w:r w:rsidRPr="00B45958">
          <w:rPr>
            <w:rFonts w:ascii="Arial" w:hAnsi="Arial" w:cs="Arial"/>
          </w:rPr>
          <w:fldChar w:fldCharType="separate"/>
        </w:r>
        <w:r w:rsidR="00AB4D4A">
          <w:rPr>
            <w:rFonts w:ascii="Arial" w:hAnsi="Arial" w:cs="Arial"/>
            <w:noProof/>
          </w:rPr>
          <w:t>2</w:t>
        </w:r>
        <w:r w:rsidRPr="00B45958">
          <w:rPr>
            <w:rFonts w:ascii="Arial" w:hAnsi="Arial" w:cs="Arial"/>
            <w:noProof/>
          </w:rPr>
          <w:fldChar w:fldCharType="end"/>
        </w:r>
      </w:p>
    </w:sdtContent>
  </w:sdt>
  <w:p w14:paraId="1A5BCD2B" w14:textId="77777777" w:rsidR="005A2B43" w:rsidRDefault="005A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78B9" w14:textId="77777777" w:rsidR="005A2B43" w:rsidRDefault="005A2B43" w:rsidP="009D2B1C">
      <w:r>
        <w:separator/>
      </w:r>
    </w:p>
    <w:p w14:paraId="3F33801E" w14:textId="77777777" w:rsidR="005A2B43" w:rsidRDefault="005A2B43"/>
  </w:footnote>
  <w:footnote w:type="continuationSeparator" w:id="0">
    <w:p w14:paraId="45BFA9E4" w14:textId="77777777" w:rsidR="005A2B43" w:rsidRDefault="005A2B43" w:rsidP="009D2B1C">
      <w:r>
        <w:continuationSeparator/>
      </w:r>
    </w:p>
    <w:p w14:paraId="16683475" w14:textId="77777777" w:rsidR="005A2B43" w:rsidRDefault="005A2B43"/>
  </w:footnote>
  <w:footnote w:type="continuationNotice" w:id="1">
    <w:p w14:paraId="5097D0D8" w14:textId="77777777" w:rsidR="005A2B43" w:rsidRDefault="005A2B43"/>
    <w:p w14:paraId="79C0F341" w14:textId="77777777" w:rsidR="005A2B43" w:rsidRDefault="005A2B43"/>
  </w:footnote>
  <w:footnote w:id="2">
    <w:p w14:paraId="1BAA727D" w14:textId="77777777" w:rsidR="005A2B43" w:rsidRPr="00BB5B04" w:rsidRDefault="005A2B43" w:rsidP="00A73B46">
      <w:pPr>
        <w:pStyle w:val="FootnoteText"/>
        <w:rPr>
          <w:rFonts w:ascii="Arial" w:hAnsi="Arial" w:cs="Arial"/>
        </w:rPr>
      </w:pPr>
      <w:r w:rsidRPr="007A3E5E">
        <w:rPr>
          <w:rStyle w:val="FootnoteReference"/>
          <w:rFonts w:ascii="Arial" w:hAnsi="Arial" w:cs="Arial"/>
        </w:rPr>
        <w:footnoteRef/>
      </w:r>
      <w:r w:rsidRPr="00BB5B04">
        <w:rPr>
          <w:rFonts w:ascii="Arial" w:hAnsi="Arial" w:cs="Arial"/>
        </w:rPr>
        <w:t xml:space="preserve"> OJ L 186, 11.7.2019, p.21. </w:t>
      </w:r>
    </w:p>
  </w:footnote>
  <w:footnote w:id="3">
    <w:p w14:paraId="51D5B7E5" w14:textId="4ECF1E3D" w:rsidR="005A2B43" w:rsidRPr="001D2940" w:rsidRDefault="005A2B43" w:rsidP="003B260F">
      <w:pPr>
        <w:pStyle w:val="FootnoteText"/>
        <w:ind w:right="286"/>
        <w:jc w:val="both"/>
        <w:rPr>
          <w:rFonts w:ascii="Arial" w:hAnsi="Arial" w:cs="Arial"/>
          <w:lang w:val="en-IE"/>
        </w:rPr>
      </w:pPr>
      <w:r w:rsidRPr="001D2940">
        <w:rPr>
          <w:rFonts w:ascii="Arial" w:hAnsi="Arial" w:cs="Arial"/>
          <w:vertAlign w:val="superscript"/>
          <w:lang w:val="en-IE"/>
        </w:rPr>
        <w:footnoteRef/>
      </w:r>
      <w:r w:rsidRPr="001D2940">
        <w:rPr>
          <w:rFonts w:ascii="Arial" w:hAnsi="Arial" w:cs="Arial"/>
          <w:lang w:val="en-IE"/>
        </w:rPr>
        <w:t xml:space="preserve"> Commission Decision (EU) 2018/402 of 13 March 2018 setting up the European Advisory Group for the European Labour Authority (OJ L 72, 15.3.2018, p. 20). The European Advisory Group for the European Labour Authority was established by the European Commission to discuss, in parallel to the legislative process leading to the adoption of the Regulation, the proposed tasks assigned to the Authority. The Group comprised Member States, social partners, EFTA States and EU Agencies. It met 5 times between March 2018 and May 2019.</w:t>
      </w:r>
    </w:p>
  </w:footnote>
  <w:footnote w:id="4">
    <w:p w14:paraId="4A10C463" w14:textId="77777777" w:rsidR="005A2B43" w:rsidRPr="002856F2" w:rsidRDefault="005A2B43" w:rsidP="003B260F">
      <w:pPr>
        <w:pStyle w:val="FootnoteText"/>
        <w:ind w:right="286"/>
        <w:jc w:val="both"/>
      </w:pPr>
      <w:r w:rsidRPr="001D2940">
        <w:rPr>
          <w:rStyle w:val="FootnoteReference"/>
          <w:rFonts w:ascii="Arial" w:hAnsi="Arial" w:cs="Arial"/>
        </w:rPr>
        <w:footnoteRef/>
      </w:r>
      <w:r w:rsidRPr="001D2940">
        <w:rPr>
          <w:rFonts w:ascii="Arial" w:hAnsi="Arial" w:cs="Arial"/>
        </w:rPr>
        <w:t xml:space="preserve"> On 17 October 2019, the Management Board agreed within the context of the Work Programme 2019, that a conference on the initial results of the work of the Authority after the first year of activity shall be organized in 2020.The budget for the conference has already been committed in 2019.</w:t>
      </w:r>
    </w:p>
  </w:footnote>
  <w:footnote w:id="5">
    <w:p w14:paraId="65B75108" w14:textId="77777777" w:rsidR="005A2B43" w:rsidRPr="00BB5B04" w:rsidRDefault="005A2B43" w:rsidP="00E813D6">
      <w:pPr>
        <w:pStyle w:val="FootnoteText"/>
        <w:rPr>
          <w:rFonts w:ascii="Arial" w:hAnsi="Arial" w:cs="Arial"/>
        </w:rPr>
      </w:pPr>
      <w:r w:rsidRPr="007A3E5E">
        <w:rPr>
          <w:rStyle w:val="FootnoteReference"/>
          <w:rFonts w:ascii="Arial" w:hAnsi="Arial" w:cs="Arial"/>
        </w:rPr>
        <w:footnoteRef/>
      </w:r>
      <w:r w:rsidRPr="00BB5B04">
        <w:rPr>
          <w:rFonts w:ascii="Arial" w:hAnsi="Arial" w:cs="Arial"/>
        </w:rPr>
        <w:t xml:space="preserve"> </w:t>
      </w:r>
      <w:r w:rsidRPr="00BB5B04">
        <w:rPr>
          <w:rFonts w:ascii="Arial" w:hAnsi="Arial" w:cs="Arial"/>
          <w:szCs w:val="24"/>
        </w:rPr>
        <w:t>Regulation (EU)</w:t>
      </w:r>
      <w:r w:rsidRPr="00BB5B04">
        <w:rPr>
          <w:rFonts w:ascii="Arial" w:hAnsi="Arial" w:cs="Arial"/>
          <w:sz w:val="16"/>
        </w:rPr>
        <w:t xml:space="preserve"> </w:t>
      </w:r>
      <w:r w:rsidRPr="00BB5B04">
        <w:rPr>
          <w:rFonts w:ascii="Arial" w:hAnsi="Arial" w:cs="Arial"/>
          <w:szCs w:val="24"/>
        </w:rPr>
        <w:t>2018/1724</w:t>
      </w:r>
    </w:p>
  </w:footnote>
  <w:footnote w:id="6">
    <w:p w14:paraId="49B37992" w14:textId="77777777" w:rsidR="00D03DF3" w:rsidRPr="002A7625" w:rsidRDefault="00D03DF3" w:rsidP="00D03DF3">
      <w:pPr>
        <w:pStyle w:val="FootnoteText"/>
      </w:pPr>
      <w:r>
        <w:rPr>
          <w:rStyle w:val="FootnoteReference"/>
        </w:rPr>
        <w:footnoteRef/>
      </w:r>
      <w:r>
        <w:t xml:space="preserve"> A</w:t>
      </w:r>
      <w:r w:rsidRPr="002A7625">
        <w:t>s of 1/02/2020 the United Kingdom is no longer a member of the European Union. However, by virtue of the withdrawal agreement between the EU and the United Kingdom, freedom of movement of workers between the United Kingdom and the Member States, including the delivery of EURES services, continues to exist during a transition period which currently goes to 31/12/2020.</w:t>
      </w:r>
    </w:p>
  </w:footnote>
  <w:footnote w:id="7">
    <w:p w14:paraId="04B1C954" w14:textId="5358BB2A" w:rsidR="005A2B43" w:rsidRPr="00E54D2B" w:rsidRDefault="005A2B43">
      <w:pPr>
        <w:pStyle w:val="FootnoteText"/>
        <w:rPr>
          <w:rFonts w:ascii="Arial" w:hAnsi="Arial" w:cs="Arial"/>
        </w:rPr>
      </w:pPr>
      <w:r w:rsidRPr="00E54D2B">
        <w:rPr>
          <w:rStyle w:val="FootnoteReference"/>
          <w:rFonts w:ascii="Arial" w:hAnsi="Arial" w:cs="Arial"/>
        </w:rPr>
        <w:footnoteRef/>
      </w:r>
      <w:r w:rsidRPr="00E54D2B">
        <w:rPr>
          <w:rFonts w:ascii="Arial" w:hAnsi="Arial" w:cs="Arial"/>
        </w:rPr>
        <w:t xml:space="preserve"> This part does not include corporate communication activities, e</w:t>
      </w:r>
      <w:r>
        <w:rPr>
          <w:rFonts w:ascii="Arial" w:hAnsi="Arial" w:cs="Arial"/>
        </w:rPr>
        <w:t>.</w:t>
      </w:r>
      <w:r w:rsidRPr="00E54D2B">
        <w:rPr>
          <w:rFonts w:ascii="Arial" w:hAnsi="Arial" w:cs="Arial"/>
        </w:rPr>
        <w:t>g. Web page, brochures, communication materials that are of an administrative nature (Title 2)</w:t>
      </w:r>
    </w:p>
  </w:footnote>
  <w:footnote w:id="8">
    <w:p w14:paraId="3C1FC62C" w14:textId="77777777" w:rsidR="005A2B43" w:rsidRPr="007B697C" w:rsidRDefault="005A2B43" w:rsidP="002B7CF9">
      <w:pPr>
        <w:pStyle w:val="FootnoteText"/>
        <w:rPr>
          <w:rFonts w:ascii="Arial" w:eastAsia="Times New Roman" w:hAnsi="Arial" w:cs="Arial"/>
          <w:lang w:val="en-GB"/>
        </w:rPr>
      </w:pPr>
      <w:r w:rsidRPr="007B697C">
        <w:rPr>
          <w:rStyle w:val="FootnoteReference"/>
          <w:rFonts w:ascii="Arial" w:hAnsi="Arial" w:cs="Arial"/>
        </w:rPr>
        <w:footnoteRef/>
      </w:r>
      <w:r w:rsidRPr="007B697C">
        <w:rPr>
          <w:rFonts w:ascii="Arial" w:hAnsi="Arial" w:cs="Arial"/>
        </w:rPr>
        <w:t xml:space="preserve"> </w:t>
      </w:r>
      <w:r w:rsidRPr="007B697C">
        <w:rPr>
          <w:rFonts w:ascii="Arial" w:hAnsi="Arial" w:cs="Arial"/>
          <w:lang w:bidi="ar-SA"/>
        </w:rPr>
        <w:t xml:space="preserve">The ELA Regulation states that the Authority shall become operational with the capacity to implement its own budget by 1 August 2021.  </w:t>
      </w:r>
    </w:p>
  </w:footnote>
  <w:footnote w:id="9">
    <w:p w14:paraId="0423E05F" w14:textId="0C6BD7CA" w:rsidR="005A2B43" w:rsidRPr="00E54BD9" w:rsidRDefault="005A2B43">
      <w:pPr>
        <w:pStyle w:val="FootnoteText"/>
        <w:rPr>
          <w:lang w:val="en-GB"/>
        </w:rPr>
      </w:pPr>
      <w:r>
        <w:rPr>
          <w:rStyle w:val="FootnoteReference"/>
        </w:rPr>
        <w:footnoteRef/>
      </w:r>
      <w:r>
        <w:t xml:space="preserve">  </w:t>
      </w:r>
      <w:hyperlink r:id="rId1" w:history="1">
        <w:r w:rsidRPr="00E54BD9">
          <w:rPr>
            <w:rStyle w:val="Hyperlink"/>
            <w:rFonts w:ascii="Arial" w:hAnsi="Arial" w:cs="Arial"/>
          </w:rPr>
          <w:t>https://eur-lex.europa.eu/legal-content/EN/TXT/?uri=CELEX%3A01962R0031-20140501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62CC" w14:textId="4ADCAD49" w:rsidR="005A2B43" w:rsidRPr="00FF167A" w:rsidRDefault="005A2B43">
    <w:pPr>
      <w:pStyle w:val="Header"/>
      <w:rPr>
        <w:rFonts w:ascii="Arial" w:hAnsi="Arial" w:cs="Arial"/>
        <w:sz w:val="20"/>
      </w:rPr>
    </w:pPr>
    <w:r w:rsidRPr="00FF167A">
      <w:rPr>
        <w:rFonts w:ascii="Arial" w:hAnsi="Arial" w:cs="Arial"/>
        <w:sz w:val="20"/>
      </w:rPr>
      <w:t>ELA/MB/2019/</w:t>
    </w:r>
    <w:r>
      <w:rPr>
        <w:rFonts w:ascii="Arial" w:hAnsi="Arial" w:cs="Arial"/>
        <w:sz w:val="20"/>
      </w:rPr>
      <w:t>018</w:t>
    </w:r>
    <w:r w:rsidR="00EB411B">
      <w:rPr>
        <w:rFonts w:ascii="Arial" w:hAnsi="Arial" w:cs="Arial"/>
        <w:sz w:val="20"/>
      </w:rPr>
      <w:t xml:space="preserve"> REV2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3483"/>
    <w:multiLevelType w:val="multilevel"/>
    <w:tmpl w:val="FD960C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1A8189B"/>
    <w:multiLevelType w:val="multilevel"/>
    <w:tmpl w:val="37983862"/>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087D7C"/>
    <w:multiLevelType w:val="multilevel"/>
    <w:tmpl w:val="03C4BD8A"/>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2.3.%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D9476F"/>
    <w:multiLevelType w:val="hybridMultilevel"/>
    <w:tmpl w:val="6158D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44E28"/>
    <w:multiLevelType w:val="multilevel"/>
    <w:tmpl w:val="15FE111A"/>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B87AAC"/>
    <w:multiLevelType w:val="multilevel"/>
    <w:tmpl w:val="D76AA362"/>
    <w:lvl w:ilvl="0">
      <w:start w:val="2"/>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ED0A10"/>
    <w:multiLevelType w:val="hybridMultilevel"/>
    <w:tmpl w:val="726AD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7F58A0"/>
    <w:multiLevelType w:val="multilevel"/>
    <w:tmpl w:val="F318684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DC1FB2"/>
    <w:multiLevelType w:val="multilevel"/>
    <w:tmpl w:val="E16A3B64"/>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2.%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9C336F"/>
    <w:multiLevelType w:val="multilevel"/>
    <w:tmpl w:val="2FF4298A"/>
    <w:lvl w:ilvl="0">
      <w:start w:val="1"/>
      <w:numFmt w:val="decimal"/>
      <w:lvlText w:val="%1."/>
      <w:lvlJc w:val="left"/>
      <w:pPr>
        <w:ind w:left="360" w:hanging="360"/>
      </w:pPr>
    </w:lvl>
    <w:lvl w:ilvl="1">
      <w:start w:val="2"/>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0266862"/>
    <w:multiLevelType w:val="multilevel"/>
    <w:tmpl w:val="AE0EFF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4B132D"/>
    <w:multiLevelType w:val="hybridMultilevel"/>
    <w:tmpl w:val="0DB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F46AF"/>
    <w:multiLevelType w:val="multilevel"/>
    <w:tmpl w:val="7F84632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861"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6FE7230"/>
    <w:multiLevelType w:val="hybridMultilevel"/>
    <w:tmpl w:val="EF844CC0"/>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16" w15:restartNumberingAfterBreak="0">
    <w:nsid w:val="6F51502D"/>
    <w:multiLevelType w:val="hybridMultilevel"/>
    <w:tmpl w:val="2B909A34"/>
    <w:lvl w:ilvl="0" w:tplc="A5425EAA">
      <w:start w:val="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146C7"/>
    <w:multiLevelType w:val="hybridMultilevel"/>
    <w:tmpl w:val="FF7E2922"/>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4E13ED9"/>
    <w:multiLevelType w:val="multilevel"/>
    <w:tmpl w:val="26D06292"/>
    <w:lvl w:ilvl="0">
      <w:start w:val="2"/>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F1354AB"/>
    <w:multiLevelType w:val="hybridMultilevel"/>
    <w:tmpl w:val="F5EC06D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F913271"/>
    <w:multiLevelType w:val="multilevel"/>
    <w:tmpl w:val="9D6831B8"/>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7"/>
  </w:num>
  <w:num w:numId="4">
    <w:abstractNumId w:val="0"/>
  </w:num>
  <w:num w:numId="5">
    <w:abstractNumId w:val="13"/>
  </w:num>
  <w:num w:numId="6">
    <w:abstractNumId w:val="15"/>
  </w:num>
  <w:num w:numId="7">
    <w:abstractNumId w:val="11"/>
  </w:num>
  <w:num w:numId="8">
    <w:abstractNumId w:val="3"/>
  </w:num>
  <w:num w:numId="9">
    <w:abstractNumId w:val="9"/>
  </w:num>
  <w:num w:numId="10">
    <w:abstractNumId w:val="20"/>
  </w:num>
  <w:num w:numId="11">
    <w:abstractNumId w:val="2"/>
  </w:num>
  <w:num w:numId="12">
    <w:abstractNumId w:val="8"/>
  </w:num>
  <w:num w:numId="13">
    <w:abstractNumId w:val="19"/>
  </w:num>
  <w:num w:numId="14">
    <w:abstractNumId w:val="14"/>
  </w:num>
  <w:num w:numId="15">
    <w:abstractNumId w:val="17"/>
  </w:num>
  <w:num w:numId="16">
    <w:abstractNumId w:val="5"/>
  </w:num>
  <w:num w:numId="17">
    <w:abstractNumId w:val="12"/>
  </w:num>
  <w:num w:numId="18">
    <w:abstractNumId w:val="4"/>
  </w:num>
  <w:num w:numId="19">
    <w:abstractNumId w:val="6"/>
  </w:num>
  <w:num w:numId="20">
    <w:abstractNumId w:val="16"/>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defaultTabStop w:val="720"/>
  <w:hyphenationZone w:val="425"/>
  <w:drawingGridHorizontalSpacing w:val="110"/>
  <w:displayHorizontalDrawingGridEvery w:val="2"/>
  <w:characterSpacingControl w:val="doNotCompress"/>
  <w:hdrShapeDefaults>
    <o:shapedefaults v:ext="edit" spidmax="151553">
      <o:colormenu v:ext="edit" fillcolor="none [2732]" strokecolor="#0154a7"/>
    </o:shapedefaults>
  </w:hdrShapeDefaults>
  <w:footnotePr>
    <w:footnote w:id="-1"/>
    <w:footnote w:id="0"/>
    <w:footnote w:id="1"/>
  </w:footnotePr>
  <w:endnotePr>
    <w:endnote w:id="-1"/>
    <w:endnote w:id="0"/>
    <w:endnote w:id="1"/>
  </w:endnotePr>
  <w:compat>
    <w:ulTrailSpace/>
    <w:compatSetting w:name="compatibilityMode" w:uri="http://schemas.microsoft.com/office/word" w:val="12"/>
  </w:compat>
  <w:docVars>
    <w:docVar w:name="LW_DocType" w:val="NORMAL"/>
  </w:docVars>
  <w:rsids>
    <w:rsidRoot w:val="00C4470B"/>
    <w:rsid w:val="00000082"/>
    <w:rsid w:val="00002999"/>
    <w:rsid w:val="00006F19"/>
    <w:rsid w:val="00010D79"/>
    <w:rsid w:val="00011688"/>
    <w:rsid w:val="000231DE"/>
    <w:rsid w:val="000238A5"/>
    <w:rsid w:val="00023EE8"/>
    <w:rsid w:val="00026DF1"/>
    <w:rsid w:val="00027C1F"/>
    <w:rsid w:val="00035227"/>
    <w:rsid w:val="000365BB"/>
    <w:rsid w:val="00037107"/>
    <w:rsid w:val="00042102"/>
    <w:rsid w:val="0004671A"/>
    <w:rsid w:val="00047D1D"/>
    <w:rsid w:val="000515C8"/>
    <w:rsid w:val="00054332"/>
    <w:rsid w:val="00055774"/>
    <w:rsid w:val="00055869"/>
    <w:rsid w:val="00063219"/>
    <w:rsid w:val="000644FE"/>
    <w:rsid w:val="00065D82"/>
    <w:rsid w:val="000703FB"/>
    <w:rsid w:val="00072CDE"/>
    <w:rsid w:val="00075287"/>
    <w:rsid w:val="000823F8"/>
    <w:rsid w:val="00083FB9"/>
    <w:rsid w:val="00086C2B"/>
    <w:rsid w:val="00090A0B"/>
    <w:rsid w:val="00090DDE"/>
    <w:rsid w:val="00094EAD"/>
    <w:rsid w:val="000950DE"/>
    <w:rsid w:val="00095C9E"/>
    <w:rsid w:val="00096411"/>
    <w:rsid w:val="0009788D"/>
    <w:rsid w:val="000A1DEB"/>
    <w:rsid w:val="000A27E5"/>
    <w:rsid w:val="000A2F27"/>
    <w:rsid w:val="000A3103"/>
    <w:rsid w:val="000A5DAE"/>
    <w:rsid w:val="000A6524"/>
    <w:rsid w:val="000B02C5"/>
    <w:rsid w:val="000B4969"/>
    <w:rsid w:val="000B58DF"/>
    <w:rsid w:val="000C0533"/>
    <w:rsid w:val="000C0685"/>
    <w:rsid w:val="000C69A5"/>
    <w:rsid w:val="000C7488"/>
    <w:rsid w:val="000D2F30"/>
    <w:rsid w:val="000D594F"/>
    <w:rsid w:val="000E089E"/>
    <w:rsid w:val="000E4C2B"/>
    <w:rsid w:val="000E604F"/>
    <w:rsid w:val="000E6AF6"/>
    <w:rsid w:val="000E7790"/>
    <w:rsid w:val="000E7FE8"/>
    <w:rsid w:val="000F0CFA"/>
    <w:rsid w:val="000F2FB4"/>
    <w:rsid w:val="000F3128"/>
    <w:rsid w:val="000F3757"/>
    <w:rsid w:val="0010281E"/>
    <w:rsid w:val="001042DE"/>
    <w:rsid w:val="00104778"/>
    <w:rsid w:val="001057F7"/>
    <w:rsid w:val="00105C01"/>
    <w:rsid w:val="001064C0"/>
    <w:rsid w:val="00106BAA"/>
    <w:rsid w:val="00111BD8"/>
    <w:rsid w:val="00113C3B"/>
    <w:rsid w:val="001168D2"/>
    <w:rsid w:val="001177FF"/>
    <w:rsid w:val="00120CC6"/>
    <w:rsid w:val="001237A3"/>
    <w:rsid w:val="00124F3F"/>
    <w:rsid w:val="001317B5"/>
    <w:rsid w:val="001317FA"/>
    <w:rsid w:val="0013228F"/>
    <w:rsid w:val="001430BB"/>
    <w:rsid w:val="00147137"/>
    <w:rsid w:val="00147D72"/>
    <w:rsid w:val="00150528"/>
    <w:rsid w:val="0015374D"/>
    <w:rsid w:val="00154771"/>
    <w:rsid w:val="00157429"/>
    <w:rsid w:val="001605A3"/>
    <w:rsid w:val="001645C2"/>
    <w:rsid w:val="00164DFE"/>
    <w:rsid w:val="00167772"/>
    <w:rsid w:val="00167976"/>
    <w:rsid w:val="00173DBC"/>
    <w:rsid w:val="001748D8"/>
    <w:rsid w:val="00174C3C"/>
    <w:rsid w:val="001758DE"/>
    <w:rsid w:val="0018021C"/>
    <w:rsid w:val="00180997"/>
    <w:rsid w:val="00182892"/>
    <w:rsid w:val="0018700A"/>
    <w:rsid w:val="001923A0"/>
    <w:rsid w:val="001932F0"/>
    <w:rsid w:val="00196E9E"/>
    <w:rsid w:val="00197A28"/>
    <w:rsid w:val="001A0BC5"/>
    <w:rsid w:val="001A54B8"/>
    <w:rsid w:val="001A76BF"/>
    <w:rsid w:val="001A7A17"/>
    <w:rsid w:val="001B163D"/>
    <w:rsid w:val="001B2A57"/>
    <w:rsid w:val="001B5BD8"/>
    <w:rsid w:val="001C798B"/>
    <w:rsid w:val="001D0405"/>
    <w:rsid w:val="001D2940"/>
    <w:rsid w:val="001D5DC9"/>
    <w:rsid w:val="001D65B9"/>
    <w:rsid w:val="001E221A"/>
    <w:rsid w:val="001E4C05"/>
    <w:rsid w:val="001F01B1"/>
    <w:rsid w:val="001F1B22"/>
    <w:rsid w:val="001F3913"/>
    <w:rsid w:val="001F3951"/>
    <w:rsid w:val="001F486D"/>
    <w:rsid w:val="00200AF0"/>
    <w:rsid w:val="002043BF"/>
    <w:rsid w:val="00206DCE"/>
    <w:rsid w:val="00207984"/>
    <w:rsid w:val="00207D55"/>
    <w:rsid w:val="00210372"/>
    <w:rsid w:val="002104AF"/>
    <w:rsid w:val="00210770"/>
    <w:rsid w:val="00215757"/>
    <w:rsid w:val="00216D3C"/>
    <w:rsid w:val="00223903"/>
    <w:rsid w:val="0022459E"/>
    <w:rsid w:val="00225543"/>
    <w:rsid w:val="00226DAE"/>
    <w:rsid w:val="002272D7"/>
    <w:rsid w:val="002351A5"/>
    <w:rsid w:val="002375A9"/>
    <w:rsid w:val="00240644"/>
    <w:rsid w:val="00241457"/>
    <w:rsid w:val="00245E7C"/>
    <w:rsid w:val="00250286"/>
    <w:rsid w:val="002513C1"/>
    <w:rsid w:val="0025351F"/>
    <w:rsid w:val="002560F7"/>
    <w:rsid w:val="00260A03"/>
    <w:rsid w:val="00261757"/>
    <w:rsid w:val="00261E4C"/>
    <w:rsid w:val="00262445"/>
    <w:rsid w:val="00262B90"/>
    <w:rsid w:val="0026440A"/>
    <w:rsid w:val="0026771D"/>
    <w:rsid w:val="00267DE3"/>
    <w:rsid w:val="002711F2"/>
    <w:rsid w:val="002728A6"/>
    <w:rsid w:val="002802A5"/>
    <w:rsid w:val="00282153"/>
    <w:rsid w:val="002830C4"/>
    <w:rsid w:val="00283165"/>
    <w:rsid w:val="00284CFC"/>
    <w:rsid w:val="002856F2"/>
    <w:rsid w:val="0029174A"/>
    <w:rsid w:val="002A0B1B"/>
    <w:rsid w:val="002A0EC4"/>
    <w:rsid w:val="002A2429"/>
    <w:rsid w:val="002A3A2D"/>
    <w:rsid w:val="002A4314"/>
    <w:rsid w:val="002B2366"/>
    <w:rsid w:val="002B3740"/>
    <w:rsid w:val="002B4AAD"/>
    <w:rsid w:val="002B4DED"/>
    <w:rsid w:val="002B57F1"/>
    <w:rsid w:val="002B6891"/>
    <w:rsid w:val="002B7CF9"/>
    <w:rsid w:val="002C129A"/>
    <w:rsid w:val="002C30EA"/>
    <w:rsid w:val="002C40B3"/>
    <w:rsid w:val="002C4317"/>
    <w:rsid w:val="002C5B2D"/>
    <w:rsid w:val="002C6483"/>
    <w:rsid w:val="002C65DA"/>
    <w:rsid w:val="002D1859"/>
    <w:rsid w:val="002D7266"/>
    <w:rsid w:val="002D7454"/>
    <w:rsid w:val="002E3958"/>
    <w:rsid w:val="002E71BC"/>
    <w:rsid w:val="002F26CA"/>
    <w:rsid w:val="00301F0C"/>
    <w:rsid w:val="00302E5B"/>
    <w:rsid w:val="003031BF"/>
    <w:rsid w:val="00303673"/>
    <w:rsid w:val="00305304"/>
    <w:rsid w:val="00312437"/>
    <w:rsid w:val="00314B28"/>
    <w:rsid w:val="00316041"/>
    <w:rsid w:val="00316C9A"/>
    <w:rsid w:val="00320BB9"/>
    <w:rsid w:val="00320F31"/>
    <w:rsid w:val="003238F0"/>
    <w:rsid w:val="00325B54"/>
    <w:rsid w:val="00327064"/>
    <w:rsid w:val="00330B77"/>
    <w:rsid w:val="00332E33"/>
    <w:rsid w:val="00332F3C"/>
    <w:rsid w:val="003338B3"/>
    <w:rsid w:val="00336C39"/>
    <w:rsid w:val="003370E4"/>
    <w:rsid w:val="00337325"/>
    <w:rsid w:val="003376E4"/>
    <w:rsid w:val="0034108E"/>
    <w:rsid w:val="003444DB"/>
    <w:rsid w:val="003460D2"/>
    <w:rsid w:val="003468E1"/>
    <w:rsid w:val="003469EB"/>
    <w:rsid w:val="00350FCD"/>
    <w:rsid w:val="003524DC"/>
    <w:rsid w:val="003575FC"/>
    <w:rsid w:val="00357947"/>
    <w:rsid w:val="00357B02"/>
    <w:rsid w:val="0036261A"/>
    <w:rsid w:val="00363E02"/>
    <w:rsid w:val="00364013"/>
    <w:rsid w:val="0036545E"/>
    <w:rsid w:val="003672D7"/>
    <w:rsid w:val="003679E9"/>
    <w:rsid w:val="003722EF"/>
    <w:rsid w:val="003730D8"/>
    <w:rsid w:val="0037473B"/>
    <w:rsid w:val="003747C3"/>
    <w:rsid w:val="00375C29"/>
    <w:rsid w:val="003778F4"/>
    <w:rsid w:val="003833F1"/>
    <w:rsid w:val="003851D3"/>
    <w:rsid w:val="00386293"/>
    <w:rsid w:val="0038781E"/>
    <w:rsid w:val="00390C35"/>
    <w:rsid w:val="003962C4"/>
    <w:rsid w:val="003A1063"/>
    <w:rsid w:val="003A2006"/>
    <w:rsid w:val="003A3B33"/>
    <w:rsid w:val="003A3D52"/>
    <w:rsid w:val="003A5A35"/>
    <w:rsid w:val="003A6161"/>
    <w:rsid w:val="003A6A58"/>
    <w:rsid w:val="003A6CE6"/>
    <w:rsid w:val="003A7020"/>
    <w:rsid w:val="003B03EB"/>
    <w:rsid w:val="003B260F"/>
    <w:rsid w:val="003C2294"/>
    <w:rsid w:val="003C6255"/>
    <w:rsid w:val="003C6FD6"/>
    <w:rsid w:val="003D0609"/>
    <w:rsid w:val="003D1A28"/>
    <w:rsid w:val="003D1BF8"/>
    <w:rsid w:val="003D292A"/>
    <w:rsid w:val="003D5995"/>
    <w:rsid w:val="003D744F"/>
    <w:rsid w:val="003D7D1F"/>
    <w:rsid w:val="003E1A36"/>
    <w:rsid w:val="003E234F"/>
    <w:rsid w:val="003E3F46"/>
    <w:rsid w:val="003E7B79"/>
    <w:rsid w:val="003F20FB"/>
    <w:rsid w:val="003F538E"/>
    <w:rsid w:val="003F5F00"/>
    <w:rsid w:val="004003D3"/>
    <w:rsid w:val="00402C56"/>
    <w:rsid w:val="00402E3E"/>
    <w:rsid w:val="00407102"/>
    <w:rsid w:val="0041176C"/>
    <w:rsid w:val="004178EF"/>
    <w:rsid w:val="004215EB"/>
    <w:rsid w:val="00431AB1"/>
    <w:rsid w:val="0043305C"/>
    <w:rsid w:val="00433D5F"/>
    <w:rsid w:val="00434230"/>
    <w:rsid w:val="00436520"/>
    <w:rsid w:val="0043698A"/>
    <w:rsid w:val="00441796"/>
    <w:rsid w:val="004423E7"/>
    <w:rsid w:val="00447E7D"/>
    <w:rsid w:val="00451AF7"/>
    <w:rsid w:val="0045413C"/>
    <w:rsid w:val="00454699"/>
    <w:rsid w:val="0045717E"/>
    <w:rsid w:val="00465B7B"/>
    <w:rsid w:val="004670F7"/>
    <w:rsid w:val="00471791"/>
    <w:rsid w:val="004730E6"/>
    <w:rsid w:val="00474B42"/>
    <w:rsid w:val="00483FE5"/>
    <w:rsid w:val="00487EBE"/>
    <w:rsid w:val="00491812"/>
    <w:rsid w:val="00491DB0"/>
    <w:rsid w:val="0049643F"/>
    <w:rsid w:val="00496C71"/>
    <w:rsid w:val="00496DAE"/>
    <w:rsid w:val="00497AA7"/>
    <w:rsid w:val="004A0153"/>
    <w:rsid w:val="004A1E80"/>
    <w:rsid w:val="004A2A41"/>
    <w:rsid w:val="004A55CE"/>
    <w:rsid w:val="004A5836"/>
    <w:rsid w:val="004A7C66"/>
    <w:rsid w:val="004B0155"/>
    <w:rsid w:val="004B0ED3"/>
    <w:rsid w:val="004B274F"/>
    <w:rsid w:val="004B75D7"/>
    <w:rsid w:val="004C5A36"/>
    <w:rsid w:val="004C62CA"/>
    <w:rsid w:val="004D0716"/>
    <w:rsid w:val="004D14BD"/>
    <w:rsid w:val="004D4180"/>
    <w:rsid w:val="004D4689"/>
    <w:rsid w:val="004D46D6"/>
    <w:rsid w:val="004D4789"/>
    <w:rsid w:val="004E20F0"/>
    <w:rsid w:val="004E334F"/>
    <w:rsid w:val="004E4465"/>
    <w:rsid w:val="004E4660"/>
    <w:rsid w:val="004E5944"/>
    <w:rsid w:val="004E5C26"/>
    <w:rsid w:val="004E6102"/>
    <w:rsid w:val="004E7011"/>
    <w:rsid w:val="004E79A5"/>
    <w:rsid w:val="004E7C5A"/>
    <w:rsid w:val="004F3AB6"/>
    <w:rsid w:val="004F707A"/>
    <w:rsid w:val="00500503"/>
    <w:rsid w:val="0050060C"/>
    <w:rsid w:val="00500F9B"/>
    <w:rsid w:val="0050302E"/>
    <w:rsid w:val="00506078"/>
    <w:rsid w:val="00510A2C"/>
    <w:rsid w:val="00514149"/>
    <w:rsid w:val="0052174D"/>
    <w:rsid w:val="00522133"/>
    <w:rsid w:val="00522E42"/>
    <w:rsid w:val="00527F17"/>
    <w:rsid w:val="005308B3"/>
    <w:rsid w:val="00532495"/>
    <w:rsid w:val="00534698"/>
    <w:rsid w:val="00535DE1"/>
    <w:rsid w:val="00536B6E"/>
    <w:rsid w:val="005377F3"/>
    <w:rsid w:val="00541079"/>
    <w:rsid w:val="00541A95"/>
    <w:rsid w:val="005446A0"/>
    <w:rsid w:val="00546EF4"/>
    <w:rsid w:val="00547A91"/>
    <w:rsid w:val="00551331"/>
    <w:rsid w:val="0055523F"/>
    <w:rsid w:val="005552D1"/>
    <w:rsid w:val="00556D70"/>
    <w:rsid w:val="00560DFE"/>
    <w:rsid w:val="0056195E"/>
    <w:rsid w:val="00564034"/>
    <w:rsid w:val="00573357"/>
    <w:rsid w:val="00575CC0"/>
    <w:rsid w:val="00577FBE"/>
    <w:rsid w:val="0058042E"/>
    <w:rsid w:val="00580F8F"/>
    <w:rsid w:val="005816B0"/>
    <w:rsid w:val="00585BE3"/>
    <w:rsid w:val="00586EC3"/>
    <w:rsid w:val="0058711B"/>
    <w:rsid w:val="00587E33"/>
    <w:rsid w:val="00591DFA"/>
    <w:rsid w:val="005957C6"/>
    <w:rsid w:val="005A2B43"/>
    <w:rsid w:val="005A50E5"/>
    <w:rsid w:val="005B02DA"/>
    <w:rsid w:val="005B09DF"/>
    <w:rsid w:val="005B2572"/>
    <w:rsid w:val="005B2C05"/>
    <w:rsid w:val="005B31DC"/>
    <w:rsid w:val="005B5557"/>
    <w:rsid w:val="005B5AE6"/>
    <w:rsid w:val="005D010B"/>
    <w:rsid w:val="005D01F2"/>
    <w:rsid w:val="005D51BA"/>
    <w:rsid w:val="005E44E8"/>
    <w:rsid w:val="005F4846"/>
    <w:rsid w:val="005F59E1"/>
    <w:rsid w:val="005F705F"/>
    <w:rsid w:val="005F707A"/>
    <w:rsid w:val="005F7563"/>
    <w:rsid w:val="00603E40"/>
    <w:rsid w:val="00605E6A"/>
    <w:rsid w:val="00606DE2"/>
    <w:rsid w:val="00611200"/>
    <w:rsid w:val="006119E1"/>
    <w:rsid w:val="00621BA1"/>
    <w:rsid w:val="00623ACD"/>
    <w:rsid w:val="006250D2"/>
    <w:rsid w:val="00632E26"/>
    <w:rsid w:val="00634852"/>
    <w:rsid w:val="0063583B"/>
    <w:rsid w:val="0063715E"/>
    <w:rsid w:val="00640C2C"/>
    <w:rsid w:val="006413F6"/>
    <w:rsid w:val="00643951"/>
    <w:rsid w:val="00644A45"/>
    <w:rsid w:val="006523F6"/>
    <w:rsid w:val="006528EE"/>
    <w:rsid w:val="006533C8"/>
    <w:rsid w:val="00654E00"/>
    <w:rsid w:val="006571A8"/>
    <w:rsid w:val="00657A27"/>
    <w:rsid w:val="0066212A"/>
    <w:rsid w:val="00663A34"/>
    <w:rsid w:val="0066564B"/>
    <w:rsid w:val="006706AB"/>
    <w:rsid w:val="00673F94"/>
    <w:rsid w:val="00675E15"/>
    <w:rsid w:val="00677758"/>
    <w:rsid w:val="0068299F"/>
    <w:rsid w:val="00683A4D"/>
    <w:rsid w:val="006842B7"/>
    <w:rsid w:val="006843FF"/>
    <w:rsid w:val="0068460C"/>
    <w:rsid w:val="00686C4B"/>
    <w:rsid w:val="006901A4"/>
    <w:rsid w:val="00691397"/>
    <w:rsid w:val="00691B6C"/>
    <w:rsid w:val="00691F92"/>
    <w:rsid w:val="00693391"/>
    <w:rsid w:val="00696A4F"/>
    <w:rsid w:val="00697E42"/>
    <w:rsid w:val="006A5ACD"/>
    <w:rsid w:val="006B002B"/>
    <w:rsid w:val="006B50E6"/>
    <w:rsid w:val="006B63CD"/>
    <w:rsid w:val="006C1D5D"/>
    <w:rsid w:val="006D10B1"/>
    <w:rsid w:val="006D1E39"/>
    <w:rsid w:val="006D2D17"/>
    <w:rsid w:val="006D6194"/>
    <w:rsid w:val="006E0183"/>
    <w:rsid w:val="006E1536"/>
    <w:rsid w:val="006E1C01"/>
    <w:rsid w:val="006E1FF6"/>
    <w:rsid w:val="006E3390"/>
    <w:rsid w:val="006E33B9"/>
    <w:rsid w:val="006E3DBC"/>
    <w:rsid w:val="006E7361"/>
    <w:rsid w:val="006F0BDA"/>
    <w:rsid w:val="006F399A"/>
    <w:rsid w:val="006F6DC8"/>
    <w:rsid w:val="0070066E"/>
    <w:rsid w:val="00701AD1"/>
    <w:rsid w:val="00703E9E"/>
    <w:rsid w:val="00703F04"/>
    <w:rsid w:val="0070696E"/>
    <w:rsid w:val="007073A4"/>
    <w:rsid w:val="00707A21"/>
    <w:rsid w:val="00707CED"/>
    <w:rsid w:val="00710C32"/>
    <w:rsid w:val="00710D99"/>
    <w:rsid w:val="007118A8"/>
    <w:rsid w:val="00712C45"/>
    <w:rsid w:val="0072222C"/>
    <w:rsid w:val="00722B57"/>
    <w:rsid w:val="00725F54"/>
    <w:rsid w:val="0072623F"/>
    <w:rsid w:val="00727ADB"/>
    <w:rsid w:val="00731249"/>
    <w:rsid w:val="00731A68"/>
    <w:rsid w:val="00735A57"/>
    <w:rsid w:val="0074102A"/>
    <w:rsid w:val="007445EB"/>
    <w:rsid w:val="00747EC5"/>
    <w:rsid w:val="007510D5"/>
    <w:rsid w:val="00753338"/>
    <w:rsid w:val="00760692"/>
    <w:rsid w:val="00761457"/>
    <w:rsid w:val="007632AD"/>
    <w:rsid w:val="00763628"/>
    <w:rsid w:val="00764390"/>
    <w:rsid w:val="00765D15"/>
    <w:rsid w:val="00766FD5"/>
    <w:rsid w:val="00777E5F"/>
    <w:rsid w:val="007815C6"/>
    <w:rsid w:val="00794A6E"/>
    <w:rsid w:val="00796ED4"/>
    <w:rsid w:val="007A386A"/>
    <w:rsid w:val="007A3E5E"/>
    <w:rsid w:val="007A623B"/>
    <w:rsid w:val="007B1042"/>
    <w:rsid w:val="007B24E7"/>
    <w:rsid w:val="007B275C"/>
    <w:rsid w:val="007B30EE"/>
    <w:rsid w:val="007B3E5E"/>
    <w:rsid w:val="007B565F"/>
    <w:rsid w:val="007B631D"/>
    <w:rsid w:val="007B67B3"/>
    <w:rsid w:val="007B6802"/>
    <w:rsid w:val="007B697C"/>
    <w:rsid w:val="007B7FC9"/>
    <w:rsid w:val="007C0D64"/>
    <w:rsid w:val="007C23D2"/>
    <w:rsid w:val="007C46E5"/>
    <w:rsid w:val="007C4862"/>
    <w:rsid w:val="007C740C"/>
    <w:rsid w:val="007C75D9"/>
    <w:rsid w:val="007D3B56"/>
    <w:rsid w:val="007D4749"/>
    <w:rsid w:val="007E1241"/>
    <w:rsid w:val="007E1481"/>
    <w:rsid w:val="007E16EC"/>
    <w:rsid w:val="007E2C99"/>
    <w:rsid w:val="007E3FE1"/>
    <w:rsid w:val="007E46A8"/>
    <w:rsid w:val="007E50E7"/>
    <w:rsid w:val="007E79F9"/>
    <w:rsid w:val="007F3465"/>
    <w:rsid w:val="007F3F68"/>
    <w:rsid w:val="007F454E"/>
    <w:rsid w:val="008036FE"/>
    <w:rsid w:val="008052A0"/>
    <w:rsid w:val="008054B0"/>
    <w:rsid w:val="0081522B"/>
    <w:rsid w:val="00817171"/>
    <w:rsid w:val="00817868"/>
    <w:rsid w:val="008205C0"/>
    <w:rsid w:val="00824CF9"/>
    <w:rsid w:val="00826891"/>
    <w:rsid w:val="00826A5D"/>
    <w:rsid w:val="00830378"/>
    <w:rsid w:val="008308F0"/>
    <w:rsid w:val="008340B5"/>
    <w:rsid w:val="0083414F"/>
    <w:rsid w:val="008346A4"/>
    <w:rsid w:val="008347A8"/>
    <w:rsid w:val="00846504"/>
    <w:rsid w:val="0085296E"/>
    <w:rsid w:val="00854444"/>
    <w:rsid w:val="008636A8"/>
    <w:rsid w:val="00864195"/>
    <w:rsid w:val="00864A7D"/>
    <w:rsid w:val="00867930"/>
    <w:rsid w:val="00867CE5"/>
    <w:rsid w:val="00872205"/>
    <w:rsid w:val="008727CB"/>
    <w:rsid w:val="0087302A"/>
    <w:rsid w:val="00877B07"/>
    <w:rsid w:val="00881A5F"/>
    <w:rsid w:val="00881D2E"/>
    <w:rsid w:val="008822D1"/>
    <w:rsid w:val="00882777"/>
    <w:rsid w:val="008843B7"/>
    <w:rsid w:val="00885660"/>
    <w:rsid w:val="008875BB"/>
    <w:rsid w:val="00887940"/>
    <w:rsid w:val="00892249"/>
    <w:rsid w:val="00892768"/>
    <w:rsid w:val="00893F99"/>
    <w:rsid w:val="0089653F"/>
    <w:rsid w:val="008A1429"/>
    <w:rsid w:val="008A1C68"/>
    <w:rsid w:val="008A35CA"/>
    <w:rsid w:val="008A3DBC"/>
    <w:rsid w:val="008A5A09"/>
    <w:rsid w:val="008A6634"/>
    <w:rsid w:val="008A6675"/>
    <w:rsid w:val="008A713E"/>
    <w:rsid w:val="008B107F"/>
    <w:rsid w:val="008B18D5"/>
    <w:rsid w:val="008B1FB3"/>
    <w:rsid w:val="008B561B"/>
    <w:rsid w:val="008B7283"/>
    <w:rsid w:val="008B7F9A"/>
    <w:rsid w:val="008C08BC"/>
    <w:rsid w:val="008C11AC"/>
    <w:rsid w:val="008C25F6"/>
    <w:rsid w:val="008C3737"/>
    <w:rsid w:val="008C776A"/>
    <w:rsid w:val="008D03B9"/>
    <w:rsid w:val="008D043E"/>
    <w:rsid w:val="008D1054"/>
    <w:rsid w:val="008D1B92"/>
    <w:rsid w:val="008D34CE"/>
    <w:rsid w:val="008D57D2"/>
    <w:rsid w:val="008D5FC6"/>
    <w:rsid w:val="008D68B0"/>
    <w:rsid w:val="008E15FF"/>
    <w:rsid w:val="008E4A17"/>
    <w:rsid w:val="008E5846"/>
    <w:rsid w:val="008F16FE"/>
    <w:rsid w:val="008F2A9E"/>
    <w:rsid w:val="008F2B12"/>
    <w:rsid w:val="008F43D8"/>
    <w:rsid w:val="00901D5E"/>
    <w:rsid w:val="00913316"/>
    <w:rsid w:val="00914B50"/>
    <w:rsid w:val="00914F2A"/>
    <w:rsid w:val="009219D2"/>
    <w:rsid w:val="00923BCD"/>
    <w:rsid w:val="00925612"/>
    <w:rsid w:val="00925C1A"/>
    <w:rsid w:val="00930A6A"/>
    <w:rsid w:val="00930E7D"/>
    <w:rsid w:val="00946C90"/>
    <w:rsid w:val="00947652"/>
    <w:rsid w:val="00947EA8"/>
    <w:rsid w:val="00947EC8"/>
    <w:rsid w:val="00950AD2"/>
    <w:rsid w:val="009510DE"/>
    <w:rsid w:val="00951627"/>
    <w:rsid w:val="00952587"/>
    <w:rsid w:val="00953D8D"/>
    <w:rsid w:val="00955E1C"/>
    <w:rsid w:val="009564A9"/>
    <w:rsid w:val="00956712"/>
    <w:rsid w:val="00957A86"/>
    <w:rsid w:val="009613EA"/>
    <w:rsid w:val="009618E7"/>
    <w:rsid w:val="00965958"/>
    <w:rsid w:val="00966366"/>
    <w:rsid w:val="00972492"/>
    <w:rsid w:val="00977B37"/>
    <w:rsid w:val="00981F78"/>
    <w:rsid w:val="009847DE"/>
    <w:rsid w:val="009850C7"/>
    <w:rsid w:val="0099333F"/>
    <w:rsid w:val="0099725A"/>
    <w:rsid w:val="00997BAF"/>
    <w:rsid w:val="009A00E6"/>
    <w:rsid w:val="009A0665"/>
    <w:rsid w:val="009A2296"/>
    <w:rsid w:val="009A311C"/>
    <w:rsid w:val="009A49F1"/>
    <w:rsid w:val="009A4D5D"/>
    <w:rsid w:val="009A5251"/>
    <w:rsid w:val="009A6772"/>
    <w:rsid w:val="009B1193"/>
    <w:rsid w:val="009B1967"/>
    <w:rsid w:val="009B20DC"/>
    <w:rsid w:val="009B479B"/>
    <w:rsid w:val="009B4966"/>
    <w:rsid w:val="009B665E"/>
    <w:rsid w:val="009B6CEE"/>
    <w:rsid w:val="009B7464"/>
    <w:rsid w:val="009C07E2"/>
    <w:rsid w:val="009C4E43"/>
    <w:rsid w:val="009C71DF"/>
    <w:rsid w:val="009D1BD1"/>
    <w:rsid w:val="009D2B1C"/>
    <w:rsid w:val="009D383B"/>
    <w:rsid w:val="009D3FAC"/>
    <w:rsid w:val="009D4003"/>
    <w:rsid w:val="009D48FC"/>
    <w:rsid w:val="009D5357"/>
    <w:rsid w:val="009D5404"/>
    <w:rsid w:val="009D5834"/>
    <w:rsid w:val="009E38A4"/>
    <w:rsid w:val="009E3E7E"/>
    <w:rsid w:val="009E5BC1"/>
    <w:rsid w:val="009E62FA"/>
    <w:rsid w:val="009E6B4A"/>
    <w:rsid w:val="009F5520"/>
    <w:rsid w:val="009F5C32"/>
    <w:rsid w:val="009F77D2"/>
    <w:rsid w:val="00A02018"/>
    <w:rsid w:val="00A031E7"/>
    <w:rsid w:val="00A03501"/>
    <w:rsid w:val="00A04C5B"/>
    <w:rsid w:val="00A05527"/>
    <w:rsid w:val="00A10450"/>
    <w:rsid w:val="00A1150A"/>
    <w:rsid w:val="00A14B39"/>
    <w:rsid w:val="00A1622F"/>
    <w:rsid w:val="00A17435"/>
    <w:rsid w:val="00A174EE"/>
    <w:rsid w:val="00A215C9"/>
    <w:rsid w:val="00A2215A"/>
    <w:rsid w:val="00A2276E"/>
    <w:rsid w:val="00A23B87"/>
    <w:rsid w:val="00A24727"/>
    <w:rsid w:val="00A30144"/>
    <w:rsid w:val="00A317BD"/>
    <w:rsid w:val="00A32B7E"/>
    <w:rsid w:val="00A34504"/>
    <w:rsid w:val="00A36998"/>
    <w:rsid w:val="00A41A56"/>
    <w:rsid w:val="00A45870"/>
    <w:rsid w:val="00A47010"/>
    <w:rsid w:val="00A47446"/>
    <w:rsid w:val="00A5020D"/>
    <w:rsid w:val="00A50914"/>
    <w:rsid w:val="00A51F4D"/>
    <w:rsid w:val="00A52C13"/>
    <w:rsid w:val="00A60E6D"/>
    <w:rsid w:val="00A6592B"/>
    <w:rsid w:val="00A65EAD"/>
    <w:rsid w:val="00A67D5D"/>
    <w:rsid w:val="00A71122"/>
    <w:rsid w:val="00A72FAD"/>
    <w:rsid w:val="00A73694"/>
    <w:rsid w:val="00A737C6"/>
    <w:rsid w:val="00A73B46"/>
    <w:rsid w:val="00A80281"/>
    <w:rsid w:val="00A82012"/>
    <w:rsid w:val="00A822D5"/>
    <w:rsid w:val="00A85A09"/>
    <w:rsid w:val="00A916D8"/>
    <w:rsid w:val="00A93E59"/>
    <w:rsid w:val="00A94394"/>
    <w:rsid w:val="00A948FC"/>
    <w:rsid w:val="00A94914"/>
    <w:rsid w:val="00AA2C47"/>
    <w:rsid w:val="00AA3E75"/>
    <w:rsid w:val="00AB0238"/>
    <w:rsid w:val="00AB0767"/>
    <w:rsid w:val="00AB2032"/>
    <w:rsid w:val="00AB2930"/>
    <w:rsid w:val="00AB3B89"/>
    <w:rsid w:val="00AB4D4A"/>
    <w:rsid w:val="00AB68A3"/>
    <w:rsid w:val="00AC6519"/>
    <w:rsid w:val="00AC67FA"/>
    <w:rsid w:val="00AC79B2"/>
    <w:rsid w:val="00AD25DD"/>
    <w:rsid w:val="00AD3BB7"/>
    <w:rsid w:val="00AD48BB"/>
    <w:rsid w:val="00AD568A"/>
    <w:rsid w:val="00AD77AC"/>
    <w:rsid w:val="00AE184A"/>
    <w:rsid w:val="00AE526B"/>
    <w:rsid w:val="00AE5DF0"/>
    <w:rsid w:val="00AE7C12"/>
    <w:rsid w:val="00AF55A8"/>
    <w:rsid w:val="00AF62B3"/>
    <w:rsid w:val="00B00F4C"/>
    <w:rsid w:val="00B03DB0"/>
    <w:rsid w:val="00B041A5"/>
    <w:rsid w:val="00B07177"/>
    <w:rsid w:val="00B11B28"/>
    <w:rsid w:val="00B11CCF"/>
    <w:rsid w:val="00B133F8"/>
    <w:rsid w:val="00B13687"/>
    <w:rsid w:val="00B16FE8"/>
    <w:rsid w:val="00B30C39"/>
    <w:rsid w:val="00B3500A"/>
    <w:rsid w:val="00B36022"/>
    <w:rsid w:val="00B43AE7"/>
    <w:rsid w:val="00B4407A"/>
    <w:rsid w:val="00B44453"/>
    <w:rsid w:val="00B45958"/>
    <w:rsid w:val="00B477FE"/>
    <w:rsid w:val="00B52AB5"/>
    <w:rsid w:val="00B55938"/>
    <w:rsid w:val="00B56B0B"/>
    <w:rsid w:val="00B57908"/>
    <w:rsid w:val="00B6031F"/>
    <w:rsid w:val="00B613D8"/>
    <w:rsid w:val="00B61F14"/>
    <w:rsid w:val="00B63868"/>
    <w:rsid w:val="00B6449E"/>
    <w:rsid w:val="00B65497"/>
    <w:rsid w:val="00B6781C"/>
    <w:rsid w:val="00B74F88"/>
    <w:rsid w:val="00B82314"/>
    <w:rsid w:val="00B824E4"/>
    <w:rsid w:val="00B8568B"/>
    <w:rsid w:val="00B866B2"/>
    <w:rsid w:val="00B877BC"/>
    <w:rsid w:val="00B91622"/>
    <w:rsid w:val="00B92DB6"/>
    <w:rsid w:val="00B93409"/>
    <w:rsid w:val="00B9766E"/>
    <w:rsid w:val="00B97E4D"/>
    <w:rsid w:val="00BA29D3"/>
    <w:rsid w:val="00BA35CD"/>
    <w:rsid w:val="00BA572C"/>
    <w:rsid w:val="00BA5CF4"/>
    <w:rsid w:val="00BA5D2F"/>
    <w:rsid w:val="00BA6C49"/>
    <w:rsid w:val="00BB08CC"/>
    <w:rsid w:val="00BB0993"/>
    <w:rsid w:val="00BB2590"/>
    <w:rsid w:val="00BB3DDA"/>
    <w:rsid w:val="00BB4271"/>
    <w:rsid w:val="00BB44A6"/>
    <w:rsid w:val="00BB4A3A"/>
    <w:rsid w:val="00BB5645"/>
    <w:rsid w:val="00BB5B04"/>
    <w:rsid w:val="00BB5CDD"/>
    <w:rsid w:val="00BB779A"/>
    <w:rsid w:val="00BC0AF9"/>
    <w:rsid w:val="00BC379B"/>
    <w:rsid w:val="00BC3849"/>
    <w:rsid w:val="00BC58C6"/>
    <w:rsid w:val="00BD0D80"/>
    <w:rsid w:val="00BD1C13"/>
    <w:rsid w:val="00BD1EAE"/>
    <w:rsid w:val="00BD3ACC"/>
    <w:rsid w:val="00BD42AF"/>
    <w:rsid w:val="00BE28FA"/>
    <w:rsid w:val="00BE59ED"/>
    <w:rsid w:val="00BE7B5B"/>
    <w:rsid w:val="00BF46C3"/>
    <w:rsid w:val="00BF4C4E"/>
    <w:rsid w:val="00BF727D"/>
    <w:rsid w:val="00C00103"/>
    <w:rsid w:val="00C02876"/>
    <w:rsid w:val="00C029F0"/>
    <w:rsid w:val="00C02FFD"/>
    <w:rsid w:val="00C0313E"/>
    <w:rsid w:val="00C03C72"/>
    <w:rsid w:val="00C056A2"/>
    <w:rsid w:val="00C06495"/>
    <w:rsid w:val="00C06809"/>
    <w:rsid w:val="00C0683C"/>
    <w:rsid w:val="00C11B85"/>
    <w:rsid w:val="00C1232C"/>
    <w:rsid w:val="00C149FA"/>
    <w:rsid w:val="00C16983"/>
    <w:rsid w:val="00C16A74"/>
    <w:rsid w:val="00C204C6"/>
    <w:rsid w:val="00C22CF9"/>
    <w:rsid w:val="00C32B17"/>
    <w:rsid w:val="00C34B01"/>
    <w:rsid w:val="00C350B1"/>
    <w:rsid w:val="00C35949"/>
    <w:rsid w:val="00C35A94"/>
    <w:rsid w:val="00C420B7"/>
    <w:rsid w:val="00C4347C"/>
    <w:rsid w:val="00C4470B"/>
    <w:rsid w:val="00C46659"/>
    <w:rsid w:val="00C46E7E"/>
    <w:rsid w:val="00C4705E"/>
    <w:rsid w:val="00C50353"/>
    <w:rsid w:val="00C50F9E"/>
    <w:rsid w:val="00C55755"/>
    <w:rsid w:val="00C557A6"/>
    <w:rsid w:val="00C56FA2"/>
    <w:rsid w:val="00C57A11"/>
    <w:rsid w:val="00C6318D"/>
    <w:rsid w:val="00C64E8E"/>
    <w:rsid w:val="00C66C25"/>
    <w:rsid w:val="00C705DC"/>
    <w:rsid w:val="00C72CDE"/>
    <w:rsid w:val="00C73BAA"/>
    <w:rsid w:val="00C869D2"/>
    <w:rsid w:val="00C928FA"/>
    <w:rsid w:val="00C933F7"/>
    <w:rsid w:val="00CA11BA"/>
    <w:rsid w:val="00CA65FA"/>
    <w:rsid w:val="00CB4ECA"/>
    <w:rsid w:val="00CB5482"/>
    <w:rsid w:val="00CB79B6"/>
    <w:rsid w:val="00CC16B5"/>
    <w:rsid w:val="00CC23BB"/>
    <w:rsid w:val="00CC4DF0"/>
    <w:rsid w:val="00CD3BBE"/>
    <w:rsid w:val="00CD4F28"/>
    <w:rsid w:val="00CD5487"/>
    <w:rsid w:val="00CD5F84"/>
    <w:rsid w:val="00CD7790"/>
    <w:rsid w:val="00CE1C4A"/>
    <w:rsid w:val="00CE24E4"/>
    <w:rsid w:val="00CE2586"/>
    <w:rsid w:val="00CE3FB8"/>
    <w:rsid w:val="00CE48EA"/>
    <w:rsid w:val="00CE4E16"/>
    <w:rsid w:val="00CF0CE1"/>
    <w:rsid w:val="00CF3608"/>
    <w:rsid w:val="00CF5457"/>
    <w:rsid w:val="00CF6A64"/>
    <w:rsid w:val="00CF741B"/>
    <w:rsid w:val="00D01B6E"/>
    <w:rsid w:val="00D0286A"/>
    <w:rsid w:val="00D02C4E"/>
    <w:rsid w:val="00D032C4"/>
    <w:rsid w:val="00D03DF3"/>
    <w:rsid w:val="00D06F99"/>
    <w:rsid w:val="00D07AE1"/>
    <w:rsid w:val="00D13DC1"/>
    <w:rsid w:val="00D143AF"/>
    <w:rsid w:val="00D27C4B"/>
    <w:rsid w:val="00D30818"/>
    <w:rsid w:val="00D323DC"/>
    <w:rsid w:val="00D34F61"/>
    <w:rsid w:val="00D36FF2"/>
    <w:rsid w:val="00D3731A"/>
    <w:rsid w:val="00D40B10"/>
    <w:rsid w:val="00D42438"/>
    <w:rsid w:val="00D427A9"/>
    <w:rsid w:val="00D43868"/>
    <w:rsid w:val="00D44E36"/>
    <w:rsid w:val="00D477EC"/>
    <w:rsid w:val="00D53302"/>
    <w:rsid w:val="00D559AC"/>
    <w:rsid w:val="00D56CAD"/>
    <w:rsid w:val="00D57C57"/>
    <w:rsid w:val="00D603F9"/>
    <w:rsid w:val="00D61E83"/>
    <w:rsid w:val="00D62BA1"/>
    <w:rsid w:val="00D66778"/>
    <w:rsid w:val="00D668B0"/>
    <w:rsid w:val="00D677AA"/>
    <w:rsid w:val="00D7008B"/>
    <w:rsid w:val="00D706BD"/>
    <w:rsid w:val="00D74EC7"/>
    <w:rsid w:val="00D75F21"/>
    <w:rsid w:val="00D766CE"/>
    <w:rsid w:val="00D80D9C"/>
    <w:rsid w:val="00D81C9F"/>
    <w:rsid w:val="00D8437E"/>
    <w:rsid w:val="00D87167"/>
    <w:rsid w:val="00D9448D"/>
    <w:rsid w:val="00D95C45"/>
    <w:rsid w:val="00D95E09"/>
    <w:rsid w:val="00DA0BDB"/>
    <w:rsid w:val="00DA3EE8"/>
    <w:rsid w:val="00DA5A96"/>
    <w:rsid w:val="00DA6B8D"/>
    <w:rsid w:val="00DB1830"/>
    <w:rsid w:val="00DB20F7"/>
    <w:rsid w:val="00DB368B"/>
    <w:rsid w:val="00DB46B1"/>
    <w:rsid w:val="00DB530F"/>
    <w:rsid w:val="00DB55CA"/>
    <w:rsid w:val="00DC624F"/>
    <w:rsid w:val="00DC7A1A"/>
    <w:rsid w:val="00DC7A8B"/>
    <w:rsid w:val="00DD056F"/>
    <w:rsid w:val="00DD09EB"/>
    <w:rsid w:val="00DD1703"/>
    <w:rsid w:val="00DD27AA"/>
    <w:rsid w:val="00DD6722"/>
    <w:rsid w:val="00DD6B93"/>
    <w:rsid w:val="00DD7C39"/>
    <w:rsid w:val="00DE3B47"/>
    <w:rsid w:val="00DE4019"/>
    <w:rsid w:val="00DE5B35"/>
    <w:rsid w:val="00DF2463"/>
    <w:rsid w:val="00DF61DD"/>
    <w:rsid w:val="00E0009E"/>
    <w:rsid w:val="00E00A01"/>
    <w:rsid w:val="00E03B33"/>
    <w:rsid w:val="00E054BE"/>
    <w:rsid w:val="00E05828"/>
    <w:rsid w:val="00E06307"/>
    <w:rsid w:val="00E076D7"/>
    <w:rsid w:val="00E079C1"/>
    <w:rsid w:val="00E14B25"/>
    <w:rsid w:val="00E14E4F"/>
    <w:rsid w:val="00E17233"/>
    <w:rsid w:val="00E21897"/>
    <w:rsid w:val="00E21AC6"/>
    <w:rsid w:val="00E227AE"/>
    <w:rsid w:val="00E26CA5"/>
    <w:rsid w:val="00E32389"/>
    <w:rsid w:val="00E32D2F"/>
    <w:rsid w:val="00E33242"/>
    <w:rsid w:val="00E33C38"/>
    <w:rsid w:val="00E34A02"/>
    <w:rsid w:val="00E35170"/>
    <w:rsid w:val="00E35A02"/>
    <w:rsid w:val="00E4012F"/>
    <w:rsid w:val="00E418A0"/>
    <w:rsid w:val="00E46461"/>
    <w:rsid w:val="00E46A59"/>
    <w:rsid w:val="00E51260"/>
    <w:rsid w:val="00E5397C"/>
    <w:rsid w:val="00E54BD9"/>
    <w:rsid w:val="00E54D2B"/>
    <w:rsid w:val="00E5553E"/>
    <w:rsid w:val="00E55E44"/>
    <w:rsid w:val="00E57C97"/>
    <w:rsid w:val="00E64E02"/>
    <w:rsid w:val="00E65ABE"/>
    <w:rsid w:val="00E7293B"/>
    <w:rsid w:val="00E76EA9"/>
    <w:rsid w:val="00E770BD"/>
    <w:rsid w:val="00E77488"/>
    <w:rsid w:val="00E813D6"/>
    <w:rsid w:val="00E87380"/>
    <w:rsid w:val="00E9091B"/>
    <w:rsid w:val="00E9148D"/>
    <w:rsid w:val="00E938D9"/>
    <w:rsid w:val="00EA3D22"/>
    <w:rsid w:val="00EA4AE9"/>
    <w:rsid w:val="00EA5E58"/>
    <w:rsid w:val="00EB411B"/>
    <w:rsid w:val="00EB78EF"/>
    <w:rsid w:val="00EC0A53"/>
    <w:rsid w:val="00EC3CF1"/>
    <w:rsid w:val="00EC4412"/>
    <w:rsid w:val="00EC4E74"/>
    <w:rsid w:val="00ED26E8"/>
    <w:rsid w:val="00ED6628"/>
    <w:rsid w:val="00ED67D7"/>
    <w:rsid w:val="00EE2926"/>
    <w:rsid w:val="00EE2A35"/>
    <w:rsid w:val="00EE33BD"/>
    <w:rsid w:val="00EF18BD"/>
    <w:rsid w:val="00EF3301"/>
    <w:rsid w:val="00EF47F6"/>
    <w:rsid w:val="00EF56BC"/>
    <w:rsid w:val="00EF61F9"/>
    <w:rsid w:val="00EF67AB"/>
    <w:rsid w:val="00F006EC"/>
    <w:rsid w:val="00F007CB"/>
    <w:rsid w:val="00F01183"/>
    <w:rsid w:val="00F04A69"/>
    <w:rsid w:val="00F07C6C"/>
    <w:rsid w:val="00F117BB"/>
    <w:rsid w:val="00F11D08"/>
    <w:rsid w:val="00F120C9"/>
    <w:rsid w:val="00F1295A"/>
    <w:rsid w:val="00F16AB4"/>
    <w:rsid w:val="00F21138"/>
    <w:rsid w:val="00F22263"/>
    <w:rsid w:val="00F22984"/>
    <w:rsid w:val="00F240A1"/>
    <w:rsid w:val="00F26111"/>
    <w:rsid w:val="00F26EAC"/>
    <w:rsid w:val="00F273D1"/>
    <w:rsid w:val="00F27B48"/>
    <w:rsid w:val="00F3034E"/>
    <w:rsid w:val="00F30DD0"/>
    <w:rsid w:val="00F33BD3"/>
    <w:rsid w:val="00F404EF"/>
    <w:rsid w:val="00F436C3"/>
    <w:rsid w:val="00F44E48"/>
    <w:rsid w:val="00F46334"/>
    <w:rsid w:val="00F535DA"/>
    <w:rsid w:val="00F55261"/>
    <w:rsid w:val="00F55386"/>
    <w:rsid w:val="00F56278"/>
    <w:rsid w:val="00F56B4C"/>
    <w:rsid w:val="00F6036C"/>
    <w:rsid w:val="00F60592"/>
    <w:rsid w:val="00F64922"/>
    <w:rsid w:val="00F65F80"/>
    <w:rsid w:val="00F66BB0"/>
    <w:rsid w:val="00F67A10"/>
    <w:rsid w:val="00F7153C"/>
    <w:rsid w:val="00F745D6"/>
    <w:rsid w:val="00F77962"/>
    <w:rsid w:val="00F8140C"/>
    <w:rsid w:val="00F817C0"/>
    <w:rsid w:val="00F81B57"/>
    <w:rsid w:val="00F8610C"/>
    <w:rsid w:val="00F86282"/>
    <w:rsid w:val="00F96BB2"/>
    <w:rsid w:val="00FA1197"/>
    <w:rsid w:val="00FA579D"/>
    <w:rsid w:val="00FA7F64"/>
    <w:rsid w:val="00FB1259"/>
    <w:rsid w:val="00FB6F22"/>
    <w:rsid w:val="00FB6F52"/>
    <w:rsid w:val="00FB78F4"/>
    <w:rsid w:val="00FC54AA"/>
    <w:rsid w:val="00FC55A2"/>
    <w:rsid w:val="00FC5E71"/>
    <w:rsid w:val="00FD0CE6"/>
    <w:rsid w:val="00FD1D6D"/>
    <w:rsid w:val="00FD2D25"/>
    <w:rsid w:val="00FD4BDA"/>
    <w:rsid w:val="00FD5BBE"/>
    <w:rsid w:val="00FD5E9A"/>
    <w:rsid w:val="00FD7479"/>
    <w:rsid w:val="00FE0321"/>
    <w:rsid w:val="00FE119B"/>
    <w:rsid w:val="00FE6E72"/>
    <w:rsid w:val="00FF0547"/>
    <w:rsid w:val="00FF167A"/>
    <w:rsid w:val="00FF3508"/>
    <w:rsid w:val="00FF5891"/>
    <w:rsid w:val="00FF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colormenu v:ext="edit" fillcolor="none [2732]" strokecolor="#0154a7"/>
    </o:shapedefaults>
    <o:shapelayout v:ext="edit">
      <o:idmap v:ext="edit" data="1"/>
    </o:shapelayout>
  </w:shapeDefaults>
  <w:decimalSymbol w:val=","/>
  <w:listSeparator w:val=";"/>
  <w14:docId w14:val="4B78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lang w:bidi="en-US"/>
    </w:rPr>
  </w:style>
  <w:style w:type="paragraph" w:styleId="Heading1">
    <w:name w:val="heading 1"/>
    <w:basedOn w:val="BodyText"/>
    <w:next w:val="Normal"/>
    <w:link w:val="Heading1Char"/>
    <w:uiPriority w:val="9"/>
    <w:qFormat/>
    <w:rsid w:val="008F16FE"/>
    <w:pPr>
      <w:tabs>
        <w:tab w:val="left" w:pos="0"/>
      </w:tabs>
      <w:spacing w:line="276" w:lineRule="auto"/>
      <w:outlineLvl w:val="0"/>
    </w:pPr>
    <w:rPr>
      <w:rFonts w:ascii="Arial" w:hAnsi="Arial" w:cs="Arial"/>
      <w:b/>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ody,2,EC"/>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2B1C"/>
    <w:pPr>
      <w:tabs>
        <w:tab w:val="center" w:pos="4513"/>
        <w:tab w:val="right" w:pos="9026"/>
      </w:tabs>
    </w:pPr>
  </w:style>
  <w:style w:type="character" w:customStyle="1" w:styleId="HeaderChar">
    <w:name w:val="Header Char"/>
    <w:basedOn w:val="DefaultParagraphFont"/>
    <w:link w:val="Header"/>
    <w:uiPriority w:val="99"/>
    <w:rsid w:val="009D2B1C"/>
    <w:rPr>
      <w:rFonts w:ascii="Myriad Pro" w:eastAsia="Myriad Pro" w:hAnsi="Myriad Pro" w:cs="Myriad Pro"/>
      <w:lang w:bidi="en-US"/>
    </w:rPr>
  </w:style>
  <w:style w:type="paragraph" w:styleId="Footer">
    <w:name w:val="footer"/>
    <w:basedOn w:val="Normal"/>
    <w:link w:val="FooterChar"/>
    <w:uiPriority w:val="99"/>
    <w:unhideWhenUsed/>
    <w:rsid w:val="009D2B1C"/>
    <w:pPr>
      <w:tabs>
        <w:tab w:val="center" w:pos="4513"/>
        <w:tab w:val="right" w:pos="9026"/>
      </w:tabs>
    </w:pPr>
  </w:style>
  <w:style w:type="character" w:customStyle="1" w:styleId="FooterChar">
    <w:name w:val="Footer Char"/>
    <w:basedOn w:val="DefaultParagraphFont"/>
    <w:link w:val="Footer"/>
    <w:uiPriority w:val="99"/>
    <w:rsid w:val="009D2B1C"/>
    <w:rPr>
      <w:rFonts w:ascii="Myriad Pro" w:eastAsia="Myriad Pro" w:hAnsi="Myriad Pro" w:cs="Myriad Pro"/>
      <w:lang w:bidi="en-US"/>
    </w:rPr>
  </w:style>
  <w:style w:type="table" w:styleId="TableGrid">
    <w:name w:val="Table Grid"/>
    <w:basedOn w:val="TableNormal"/>
    <w:uiPriority w:val="39"/>
    <w:rsid w:val="0083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f"/>
    <w:basedOn w:val="Normal"/>
    <w:link w:val="FootnoteTextChar"/>
    <w:uiPriority w:val="99"/>
    <w:unhideWhenUsed/>
    <w:qFormat/>
    <w:rsid w:val="003A1063"/>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3A1063"/>
    <w:rPr>
      <w:rFonts w:ascii="Myriad Pro" w:eastAsia="Myriad Pro" w:hAnsi="Myriad Pro" w:cs="Myriad Pro"/>
      <w:sz w:val="20"/>
      <w:szCs w:val="20"/>
      <w:lang w:bidi="en-US"/>
    </w:rPr>
  </w:style>
  <w:style w:type="character" w:styleId="FootnoteReference">
    <w:name w:val="footnote reference"/>
    <w:aliases w:val="Footnote symbol,Footnote reference number,note TESI,BVI fnr,Appel note de bas de p,Nota,Footnote,Odwołanie przypisu,Footnotes refss,SUPERS,Footnote Reference Superscript,Ref,de nota al pie,-E Fußnotenzeichen,Times 10 Point,E"/>
    <w:basedOn w:val="DefaultParagraphFont"/>
    <w:uiPriority w:val="99"/>
    <w:unhideWhenUsed/>
    <w:rsid w:val="003A1063"/>
    <w:rPr>
      <w:vertAlign w:val="superscript"/>
    </w:rPr>
  </w:style>
  <w:style w:type="character" w:styleId="CommentReference">
    <w:name w:val="annotation reference"/>
    <w:basedOn w:val="DefaultParagraphFont"/>
    <w:uiPriority w:val="99"/>
    <w:semiHidden/>
    <w:unhideWhenUsed/>
    <w:rsid w:val="00E33C38"/>
    <w:rPr>
      <w:sz w:val="16"/>
      <w:szCs w:val="16"/>
    </w:rPr>
  </w:style>
  <w:style w:type="paragraph" w:styleId="CommentText">
    <w:name w:val="annotation text"/>
    <w:basedOn w:val="Normal"/>
    <w:link w:val="CommentTextChar"/>
    <w:uiPriority w:val="99"/>
    <w:unhideWhenUsed/>
    <w:rsid w:val="00E33C38"/>
    <w:rPr>
      <w:sz w:val="20"/>
      <w:szCs w:val="20"/>
    </w:rPr>
  </w:style>
  <w:style w:type="character" w:customStyle="1" w:styleId="CommentTextChar">
    <w:name w:val="Comment Text Char"/>
    <w:basedOn w:val="DefaultParagraphFont"/>
    <w:link w:val="CommentText"/>
    <w:uiPriority w:val="99"/>
    <w:rsid w:val="00E33C38"/>
    <w:rPr>
      <w:rFonts w:ascii="Myriad Pro" w:eastAsia="Myriad Pro" w:hAnsi="Myriad Pro" w:cs="Myriad Pro"/>
      <w:sz w:val="20"/>
      <w:szCs w:val="20"/>
      <w:lang w:bidi="en-US"/>
    </w:rPr>
  </w:style>
  <w:style w:type="paragraph" w:styleId="CommentSubject">
    <w:name w:val="annotation subject"/>
    <w:basedOn w:val="CommentText"/>
    <w:next w:val="CommentText"/>
    <w:link w:val="CommentSubjectChar"/>
    <w:uiPriority w:val="99"/>
    <w:semiHidden/>
    <w:unhideWhenUsed/>
    <w:rsid w:val="00E33C38"/>
    <w:rPr>
      <w:b/>
      <w:bCs/>
    </w:rPr>
  </w:style>
  <w:style w:type="character" w:customStyle="1" w:styleId="CommentSubjectChar">
    <w:name w:val="Comment Subject Char"/>
    <w:basedOn w:val="CommentTextChar"/>
    <w:link w:val="CommentSubject"/>
    <w:uiPriority w:val="99"/>
    <w:semiHidden/>
    <w:rsid w:val="00E33C38"/>
    <w:rPr>
      <w:rFonts w:ascii="Myriad Pro" w:eastAsia="Myriad Pro" w:hAnsi="Myriad Pro" w:cs="Myriad Pro"/>
      <w:b/>
      <w:bCs/>
      <w:sz w:val="20"/>
      <w:szCs w:val="20"/>
      <w:lang w:bidi="en-US"/>
    </w:rPr>
  </w:style>
  <w:style w:type="paragraph" w:styleId="BalloonText">
    <w:name w:val="Balloon Text"/>
    <w:basedOn w:val="Normal"/>
    <w:link w:val="BalloonTextChar"/>
    <w:uiPriority w:val="99"/>
    <w:semiHidden/>
    <w:unhideWhenUsed/>
    <w:rsid w:val="00E33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C38"/>
    <w:rPr>
      <w:rFonts w:ascii="Segoe UI" w:eastAsia="Myriad Pro" w:hAnsi="Segoe UI" w:cs="Segoe UI"/>
      <w:sz w:val="18"/>
      <w:szCs w:val="18"/>
      <w:lang w:bidi="en-US"/>
    </w:rPr>
  </w:style>
  <w:style w:type="paragraph" w:customStyle="1" w:styleId="LegalNumPar">
    <w:name w:val="LegalNumPar"/>
    <w:basedOn w:val="Normal"/>
    <w:rsid w:val="00947EC8"/>
    <w:pPr>
      <w:numPr>
        <w:numId w:val="1"/>
      </w:numPr>
      <w:autoSpaceDE/>
      <w:autoSpaceDN/>
      <w:spacing w:line="360" w:lineRule="auto"/>
    </w:pPr>
    <w:rPr>
      <w:sz w:val="24"/>
    </w:rPr>
  </w:style>
  <w:style w:type="paragraph" w:customStyle="1" w:styleId="LegalNumPar2">
    <w:name w:val="LegalNumPar2"/>
    <w:basedOn w:val="Normal"/>
    <w:rsid w:val="00947EC8"/>
    <w:pPr>
      <w:numPr>
        <w:ilvl w:val="1"/>
        <w:numId w:val="1"/>
      </w:numPr>
      <w:autoSpaceDE/>
      <w:autoSpaceDN/>
      <w:spacing w:line="360" w:lineRule="auto"/>
    </w:pPr>
    <w:rPr>
      <w:sz w:val="24"/>
    </w:rPr>
  </w:style>
  <w:style w:type="paragraph" w:customStyle="1" w:styleId="LegalNumPar3">
    <w:name w:val="LegalNumPar3"/>
    <w:basedOn w:val="Normal"/>
    <w:rsid w:val="00947EC8"/>
    <w:pPr>
      <w:numPr>
        <w:ilvl w:val="2"/>
        <w:numId w:val="1"/>
      </w:numPr>
      <w:autoSpaceDE/>
      <w:autoSpaceDN/>
      <w:spacing w:line="360" w:lineRule="auto"/>
    </w:pPr>
    <w:rPr>
      <w:sz w:val="24"/>
    </w:rPr>
  </w:style>
  <w:style w:type="character" w:styleId="Hyperlink">
    <w:name w:val="Hyperlink"/>
    <w:basedOn w:val="DefaultParagraphFont"/>
    <w:uiPriority w:val="99"/>
    <w:unhideWhenUsed/>
    <w:rsid w:val="00A5020D"/>
    <w:rPr>
      <w:color w:val="0000FF" w:themeColor="hyperlink"/>
      <w:u w:val="single"/>
    </w:rPr>
  </w:style>
  <w:style w:type="character" w:customStyle="1" w:styleId="BodyTextChar">
    <w:name w:val="Body Text Char"/>
    <w:basedOn w:val="DefaultParagraphFont"/>
    <w:link w:val="BodyText"/>
    <w:uiPriority w:val="1"/>
    <w:rsid w:val="00B93409"/>
    <w:rPr>
      <w:rFonts w:ascii="Myriad Pro" w:eastAsia="Myriad Pro" w:hAnsi="Myriad Pro" w:cs="Myriad Pro"/>
      <w:sz w:val="16"/>
      <w:szCs w:val="16"/>
      <w:lang w:bidi="en-US"/>
    </w:rPr>
  </w:style>
  <w:style w:type="paragraph" w:customStyle="1" w:styleId="Default">
    <w:name w:val="Default"/>
    <w:rsid w:val="007B6802"/>
    <w:pPr>
      <w:widowControl/>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F3128"/>
    <w:rPr>
      <w:rFonts w:ascii="Arial" w:eastAsia="Myriad Pro" w:hAnsi="Arial" w:cs="Arial"/>
      <w:b/>
      <w:sz w:val="24"/>
      <w:szCs w:val="24"/>
      <w:lang w:val="en-IE" w:bidi="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0F3128"/>
    <w:rPr>
      <w:rFonts w:ascii="Myriad Pro" w:eastAsia="Myriad Pro" w:hAnsi="Myriad Pro" w:cs="Myriad Pro"/>
      <w:lang w:bidi="en-US"/>
    </w:rPr>
  </w:style>
  <w:style w:type="paragraph" w:styleId="Revision">
    <w:name w:val="Revision"/>
    <w:hidden/>
    <w:uiPriority w:val="99"/>
    <w:semiHidden/>
    <w:rsid w:val="003338B3"/>
    <w:pPr>
      <w:widowControl/>
      <w:autoSpaceDE/>
      <w:autoSpaceDN/>
    </w:pPr>
    <w:rPr>
      <w:rFonts w:ascii="Myriad Pro" w:eastAsia="Myriad Pro" w:hAnsi="Myriad Pro" w:cs="Myriad Pro"/>
      <w:lang w:bidi="en-US"/>
    </w:rPr>
  </w:style>
  <w:style w:type="character" w:customStyle="1" w:styleId="A10">
    <w:name w:val="A10"/>
    <w:uiPriority w:val="99"/>
    <w:rsid w:val="009D383B"/>
    <w:rPr>
      <w:rFonts w:cs="EC Square Sans Pro"/>
      <w:color w:val="000000"/>
      <w:sz w:val="21"/>
      <w:szCs w:val="21"/>
    </w:rPr>
  </w:style>
  <w:style w:type="paragraph" w:styleId="NormalWeb">
    <w:name w:val="Normal (Web)"/>
    <w:basedOn w:val="Normal"/>
    <w:uiPriority w:val="99"/>
    <w:semiHidden/>
    <w:unhideWhenUsed/>
    <w:rsid w:val="009D38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Titrearticle">
    <w:name w:val="Titre article"/>
    <w:basedOn w:val="Normal"/>
    <w:next w:val="Normal"/>
    <w:rsid w:val="00CE2586"/>
    <w:pPr>
      <w:keepNext/>
      <w:widowControl/>
      <w:autoSpaceDE/>
      <w:autoSpaceDN/>
      <w:spacing w:before="360" w:after="120"/>
      <w:jc w:val="center"/>
    </w:pPr>
    <w:rPr>
      <w:rFonts w:ascii="Times New Roman" w:eastAsia="Times New Roman" w:hAnsi="Times New Roman" w:cs="Times New Roman"/>
      <w:i/>
      <w:sz w:val="24"/>
      <w:szCs w:val="24"/>
      <w:lang w:val="en-GB" w:bidi="ar-SA"/>
    </w:rPr>
  </w:style>
  <w:style w:type="paragraph" w:customStyle="1" w:styleId="Considrant">
    <w:name w:val="Considérant"/>
    <w:basedOn w:val="Normal"/>
    <w:rsid w:val="00CE2586"/>
    <w:pPr>
      <w:widowControl/>
      <w:numPr>
        <w:numId w:val="6"/>
      </w:numPr>
      <w:autoSpaceDE/>
      <w:autoSpaceDN/>
      <w:spacing w:before="120" w:after="120"/>
      <w:jc w:val="both"/>
    </w:pPr>
    <w:rPr>
      <w:rFonts w:ascii="Times New Roman" w:eastAsia="Times New Roman" w:hAnsi="Times New Roman" w:cs="Times New Roman"/>
      <w:sz w:val="24"/>
      <w:szCs w:val="24"/>
      <w:lang w:val="en-GB" w:bidi="ar-SA"/>
    </w:rPr>
  </w:style>
  <w:style w:type="character" w:customStyle="1" w:styleId="Marker">
    <w:name w:val="Marker"/>
    <w:rsid w:val="00CE2586"/>
    <w:rPr>
      <w:color w:val="0000FF"/>
      <w:shd w:val="clear" w:color="auto" w:fill="auto"/>
    </w:rPr>
  </w:style>
  <w:style w:type="character" w:customStyle="1" w:styleId="Marker1">
    <w:name w:val="Marker1"/>
    <w:rsid w:val="00CE2586"/>
    <w:rPr>
      <w:color w:val="008000"/>
      <w:shd w:val="clear" w:color="auto" w:fill="auto"/>
    </w:rPr>
  </w:style>
  <w:style w:type="paragraph" w:customStyle="1" w:styleId="Point0letter">
    <w:name w:val="Point 0 (letter)"/>
    <w:basedOn w:val="Normal"/>
    <w:rsid w:val="00CE2586"/>
    <w:pPr>
      <w:widowControl/>
      <w:tabs>
        <w:tab w:val="num" w:pos="850"/>
      </w:tabs>
      <w:autoSpaceDE/>
      <w:autoSpaceDN/>
      <w:spacing w:before="120" w:after="120"/>
      <w:ind w:left="850" w:hanging="850"/>
      <w:jc w:val="both"/>
    </w:pPr>
    <w:rPr>
      <w:rFonts w:ascii="Times New Roman" w:eastAsia="Times New Roman" w:hAnsi="Times New Roman" w:cs="Times New Roman"/>
      <w:sz w:val="24"/>
      <w:szCs w:val="24"/>
      <w:lang w:val="en-GB" w:bidi="ar-SA"/>
    </w:rPr>
  </w:style>
  <w:style w:type="paragraph" w:customStyle="1" w:styleId="Point0number">
    <w:name w:val="Point 0 (number)"/>
    <w:basedOn w:val="Normal"/>
    <w:rsid w:val="00CE2586"/>
    <w:pPr>
      <w:widowControl/>
      <w:tabs>
        <w:tab w:val="num" w:pos="850"/>
      </w:tabs>
      <w:autoSpaceDE/>
      <w:autoSpaceDN/>
      <w:spacing w:before="120" w:after="120"/>
      <w:ind w:left="850" w:hanging="850"/>
      <w:jc w:val="both"/>
    </w:pPr>
    <w:rPr>
      <w:rFonts w:ascii="Times New Roman" w:eastAsia="Times New Roman" w:hAnsi="Times New Roman" w:cs="Times New Roman"/>
      <w:sz w:val="24"/>
      <w:szCs w:val="24"/>
      <w:lang w:val="en-GB" w:bidi="ar-SA"/>
    </w:rPr>
  </w:style>
  <w:style w:type="paragraph" w:customStyle="1" w:styleId="Point1letter">
    <w:name w:val="Point 1 (letter)"/>
    <w:basedOn w:val="Normal"/>
    <w:rsid w:val="00CE2586"/>
    <w:pPr>
      <w:widowControl/>
      <w:tabs>
        <w:tab w:val="num" w:pos="1417"/>
      </w:tabs>
      <w:autoSpaceDE/>
      <w:autoSpaceDN/>
      <w:spacing w:before="120" w:after="120"/>
      <w:ind w:left="1417" w:hanging="567"/>
      <w:jc w:val="both"/>
    </w:pPr>
    <w:rPr>
      <w:rFonts w:ascii="Times New Roman" w:eastAsia="Times New Roman" w:hAnsi="Times New Roman" w:cs="Times New Roman"/>
      <w:sz w:val="24"/>
      <w:szCs w:val="24"/>
      <w:lang w:val="en-GB" w:bidi="ar-SA"/>
    </w:rPr>
  </w:style>
  <w:style w:type="paragraph" w:customStyle="1" w:styleId="Point1number">
    <w:name w:val="Point 1 (number)"/>
    <w:basedOn w:val="Normal"/>
    <w:rsid w:val="00CE2586"/>
    <w:pPr>
      <w:widowControl/>
      <w:tabs>
        <w:tab w:val="num" w:pos="1417"/>
      </w:tabs>
      <w:autoSpaceDE/>
      <w:autoSpaceDN/>
      <w:spacing w:before="120" w:after="120"/>
      <w:ind w:left="1417" w:hanging="567"/>
      <w:jc w:val="both"/>
    </w:pPr>
    <w:rPr>
      <w:rFonts w:ascii="Times New Roman" w:eastAsia="Times New Roman" w:hAnsi="Times New Roman" w:cs="Times New Roman"/>
      <w:sz w:val="24"/>
      <w:szCs w:val="24"/>
      <w:lang w:val="en-GB" w:bidi="ar-SA"/>
    </w:rPr>
  </w:style>
  <w:style w:type="paragraph" w:customStyle="1" w:styleId="Point2letter">
    <w:name w:val="Point 2 (letter)"/>
    <w:basedOn w:val="Normal"/>
    <w:rsid w:val="00CE2586"/>
    <w:pPr>
      <w:widowControl/>
      <w:tabs>
        <w:tab w:val="num" w:pos="1984"/>
      </w:tabs>
      <w:autoSpaceDE/>
      <w:autoSpaceDN/>
      <w:spacing w:before="120" w:after="120"/>
      <w:ind w:left="1984" w:hanging="567"/>
      <w:jc w:val="both"/>
    </w:pPr>
    <w:rPr>
      <w:rFonts w:ascii="Times New Roman" w:eastAsia="Times New Roman" w:hAnsi="Times New Roman" w:cs="Times New Roman"/>
      <w:sz w:val="24"/>
      <w:szCs w:val="24"/>
      <w:lang w:val="en-GB" w:bidi="ar-SA"/>
    </w:rPr>
  </w:style>
  <w:style w:type="paragraph" w:customStyle="1" w:styleId="Point2number">
    <w:name w:val="Point 2 (number)"/>
    <w:basedOn w:val="Normal"/>
    <w:rsid w:val="00CE2586"/>
    <w:pPr>
      <w:widowControl/>
      <w:tabs>
        <w:tab w:val="num" w:pos="1984"/>
      </w:tabs>
      <w:autoSpaceDE/>
      <w:autoSpaceDN/>
      <w:spacing w:before="120" w:after="120"/>
      <w:ind w:left="1984" w:hanging="567"/>
      <w:jc w:val="both"/>
    </w:pPr>
    <w:rPr>
      <w:rFonts w:ascii="Times New Roman" w:eastAsia="Times New Roman" w:hAnsi="Times New Roman" w:cs="Times New Roman"/>
      <w:sz w:val="24"/>
      <w:szCs w:val="24"/>
      <w:lang w:val="en-GB" w:bidi="ar-SA"/>
    </w:rPr>
  </w:style>
  <w:style w:type="paragraph" w:customStyle="1" w:styleId="Point3letter">
    <w:name w:val="Point 3 (letter)"/>
    <w:basedOn w:val="Normal"/>
    <w:rsid w:val="00CE2586"/>
    <w:pPr>
      <w:widowControl/>
      <w:tabs>
        <w:tab w:val="num" w:pos="2551"/>
      </w:tabs>
      <w:autoSpaceDE/>
      <w:autoSpaceDN/>
      <w:spacing w:before="120" w:after="120"/>
      <w:ind w:left="2551" w:hanging="567"/>
      <w:jc w:val="both"/>
    </w:pPr>
    <w:rPr>
      <w:rFonts w:ascii="Times New Roman" w:eastAsia="Times New Roman" w:hAnsi="Times New Roman" w:cs="Times New Roman"/>
      <w:sz w:val="24"/>
      <w:szCs w:val="24"/>
      <w:lang w:val="en-GB" w:bidi="ar-SA"/>
    </w:rPr>
  </w:style>
  <w:style w:type="paragraph" w:customStyle="1" w:styleId="Point3number">
    <w:name w:val="Point 3 (number)"/>
    <w:basedOn w:val="Normal"/>
    <w:rsid w:val="00CE2586"/>
    <w:pPr>
      <w:widowControl/>
      <w:tabs>
        <w:tab w:val="num" w:pos="2551"/>
      </w:tabs>
      <w:autoSpaceDE/>
      <w:autoSpaceDN/>
      <w:spacing w:before="120" w:after="120"/>
      <w:ind w:left="2551" w:hanging="567"/>
      <w:jc w:val="both"/>
    </w:pPr>
    <w:rPr>
      <w:rFonts w:ascii="Times New Roman" w:eastAsia="Times New Roman" w:hAnsi="Times New Roman" w:cs="Times New Roman"/>
      <w:sz w:val="24"/>
      <w:szCs w:val="24"/>
      <w:lang w:val="en-GB" w:bidi="ar-SA"/>
    </w:rPr>
  </w:style>
  <w:style w:type="paragraph" w:customStyle="1" w:styleId="Point4letter">
    <w:name w:val="Point 4 (letter)"/>
    <w:basedOn w:val="Normal"/>
    <w:rsid w:val="00CE2586"/>
    <w:pPr>
      <w:widowControl/>
      <w:tabs>
        <w:tab w:val="num" w:pos="3118"/>
      </w:tabs>
      <w:autoSpaceDE/>
      <w:autoSpaceDN/>
      <w:spacing w:before="120" w:after="120"/>
      <w:ind w:left="3118" w:hanging="567"/>
      <w:jc w:val="both"/>
    </w:pPr>
    <w:rPr>
      <w:rFonts w:ascii="Times New Roman" w:eastAsia="Times New Roman" w:hAnsi="Times New Roman" w:cs="Times New Roman"/>
      <w:sz w:val="24"/>
      <w:szCs w:val="24"/>
      <w:lang w:val="en-GB" w:bidi="ar-SA"/>
    </w:rPr>
  </w:style>
  <w:style w:type="character" w:customStyle="1" w:styleId="super">
    <w:name w:val="super"/>
    <w:basedOn w:val="DefaultParagraphFont"/>
    <w:rsid w:val="00226DAE"/>
  </w:style>
  <w:style w:type="paragraph" w:styleId="TOCHeading">
    <w:name w:val="TOC Heading"/>
    <w:basedOn w:val="Heading1"/>
    <w:next w:val="Normal"/>
    <w:uiPriority w:val="39"/>
    <w:unhideWhenUsed/>
    <w:qFormat/>
    <w:rsid w:val="00E054BE"/>
    <w:pPr>
      <w:outlineLvl w:val="9"/>
    </w:pPr>
    <w:rPr>
      <w:b w:val="0"/>
      <w:lang w:val="en-US"/>
    </w:rPr>
  </w:style>
  <w:style w:type="paragraph" w:styleId="TOC1">
    <w:name w:val="toc 1"/>
    <w:basedOn w:val="Normal"/>
    <w:next w:val="Normal"/>
    <w:autoRedefine/>
    <w:uiPriority w:val="39"/>
    <w:unhideWhenUsed/>
    <w:rsid w:val="00390C35"/>
    <w:pPr>
      <w:spacing w:after="100"/>
    </w:pPr>
  </w:style>
  <w:style w:type="paragraph" w:styleId="TOC2">
    <w:name w:val="toc 2"/>
    <w:basedOn w:val="Normal"/>
    <w:next w:val="Normal"/>
    <w:autoRedefine/>
    <w:uiPriority w:val="39"/>
    <w:unhideWhenUsed/>
    <w:rsid w:val="00DD09EB"/>
    <w:pPr>
      <w:widowControl/>
      <w:autoSpaceDE/>
      <w:autoSpaceDN/>
      <w:spacing w:after="100" w:line="259" w:lineRule="auto"/>
      <w:ind w:left="220"/>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DD09EB"/>
    <w:pPr>
      <w:widowControl/>
      <w:autoSpaceDE/>
      <w:autoSpaceDN/>
      <w:spacing w:after="100" w:line="259" w:lineRule="auto"/>
      <w:ind w:left="440"/>
    </w:pPr>
    <w:rPr>
      <w:rFonts w:asciiTheme="minorHAnsi" w:eastAsiaTheme="minorEastAsia" w:hAnsiTheme="minorHAnsi" w:cs="Times New Roman"/>
      <w:lang w:bidi="ar-SA"/>
    </w:rPr>
  </w:style>
  <w:style w:type="paragraph" w:customStyle="1" w:styleId="paragraph">
    <w:name w:val="paragraph"/>
    <w:basedOn w:val="Normal"/>
    <w:rsid w:val="00E87380"/>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E87380"/>
  </w:style>
  <w:style w:type="character" w:customStyle="1" w:styleId="eop">
    <w:name w:val="eop"/>
    <w:basedOn w:val="DefaultParagraphFont"/>
    <w:rsid w:val="00E87380"/>
  </w:style>
  <w:style w:type="character" w:customStyle="1" w:styleId="scxw138160177">
    <w:name w:val="scxw138160177"/>
    <w:basedOn w:val="DefaultParagraphFont"/>
    <w:rsid w:val="00E87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546">
      <w:bodyDiv w:val="1"/>
      <w:marLeft w:val="0"/>
      <w:marRight w:val="0"/>
      <w:marTop w:val="0"/>
      <w:marBottom w:val="0"/>
      <w:divBdr>
        <w:top w:val="none" w:sz="0" w:space="0" w:color="auto"/>
        <w:left w:val="none" w:sz="0" w:space="0" w:color="auto"/>
        <w:bottom w:val="none" w:sz="0" w:space="0" w:color="auto"/>
        <w:right w:val="none" w:sz="0" w:space="0" w:color="auto"/>
      </w:divBdr>
    </w:div>
    <w:div w:id="441649226">
      <w:bodyDiv w:val="1"/>
      <w:marLeft w:val="0"/>
      <w:marRight w:val="0"/>
      <w:marTop w:val="0"/>
      <w:marBottom w:val="0"/>
      <w:divBdr>
        <w:top w:val="none" w:sz="0" w:space="0" w:color="auto"/>
        <w:left w:val="none" w:sz="0" w:space="0" w:color="auto"/>
        <w:bottom w:val="none" w:sz="0" w:space="0" w:color="auto"/>
        <w:right w:val="none" w:sz="0" w:space="0" w:color="auto"/>
      </w:divBdr>
    </w:div>
    <w:div w:id="471561707">
      <w:bodyDiv w:val="1"/>
      <w:marLeft w:val="0"/>
      <w:marRight w:val="0"/>
      <w:marTop w:val="0"/>
      <w:marBottom w:val="0"/>
      <w:divBdr>
        <w:top w:val="none" w:sz="0" w:space="0" w:color="auto"/>
        <w:left w:val="none" w:sz="0" w:space="0" w:color="auto"/>
        <w:bottom w:val="none" w:sz="0" w:space="0" w:color="auto"/>
        <w:right w:val="none" w:sz="0" w:space="0" w:color="auto"/>
      </w:divBdr>
    </w:div>
    <w:div w:id="573205076">
      <w:bodyDiv w:val="1"/>
      <w:marLeft w:val="0"/>
      <w:marRight w:val="0"/>
      <w:marTop w:val="0"/>
      <w:marBottom w:val="0"/>
      <w:divBdr>
        <w:top w:val="none" w:sz="0" w:space="0" w:color="auto"/>
        <w:left w:val="none" w:sz="0" w:space="0" w:color="auto"/>
        <w:bottom w:val="none" w:sz="0" w:space="0" w:color="auto"/>
        <w:right w:val="none" w:sz="0" w:space="0" w:color="auto"/>
      </w:divBdr>
    </w:div>
    <w:div w:id="634528926">
      <w:bodyDiv w:val="1"/>
      <w:marLeft w:val="0"/>
      <w:marRight w:val="0"/>
      <w:marTop w:val="0"/>
      <w:marBottom w:val="0"/>
      <w:divBdr>
        <w:top w:val="none" w:sz="0" w:space="0" w:color="auto"/>
        <w:left w:val="none" w:sz="0" w:space="0" w:color="auto"/>
        <w:bottom w:val="none" w:sz="0" w:space="0" w:color="auto"/>
        <w:right w:val="none" w:sz="0" w:space="0" w:color="auto"/>
      </w:divBdr>
      <w:divsChild>
        <w:div w:id="204101292">
          <w:marLeft w:val="0"/>
          <w:marRight w:val="0"/>
          <w:marTop w:val="0"/>
          <w:marBottom w:val="0"/>
          <w:divBdr>
            <w:top w:val="none" w:sz="0" w:space="0" w:color="auto"/>
            <w:left w:val="none" w:sz="0" w:space="0" w:color="auto"/>
            <w:bottom w:val="none" w:sz="0" w:space="0" w:color="auto"/>
            <w:right w:val="none" w:sz="0" w:space="0" w:color="auto"/>
          </w:divBdr>
        </w:div>
        <w:div w:id="2044597409">
          <w:marLeft w:val="0"/>
          <w:marRight w:val="0"/>
          <w:marTop w:val="0"/>
          <w:marBottom w:val="0"/>
          <w:divBdr>
            <w:top w:val="none" w:sz="0" w:space="0" w:color="auto"/>
            <w:left w:val="none" w:sz="0" w:space="0" w:color="auto"/>
            <w:bottom w:val="none" w:sz="0" w:space="0" w:color="auto"/>
            <w:right w:val="none" w:sz="0" w:space="0" w:color="auto"/>
          </w:divBdr>
        </w:div>
        <w:div w:id="2061779059">
          <w:marLeft w:val="0"/>
          <w:marRight w:val="0"/>
          <w:marTop w:val="0"/>
          <w:marBottom w:val="0"/>
          <w:divBdr>
            <w:top w:val="none" w:sz="0" w:space="0" w:color="auto"/>
            <w:left w:val="none" w:sz="0" w:space="0" w:color="auto"/>
            <w:bottom w:val="none" w:sz="0" w:space="0" w:color="auto"/>
            <w:right w:val="none" w:sz="0" w:space="0" w:color="auto"/>
          </w:divBdr>
        </w:div>
      </w:divsChild>
    </w:div>
    <w:div w:id="872422042">
      <w:bodyDiv w:val="1"/>
      <w:marLeft w:val="0"/>
      <w:marRight w:val="0"/>
      <w:marTop w:val="0"/>
      <w:marBottom w:val="0"/>
      <w:divBdr>
        <w:top w:val="none" w:sz="0" w:space="0" w:color="auto"/>
        <w:left w:val="none" w:sz="0" w:space="0" w:color="auto"/>
        <w:bottom w:val="none" w:sz="0" w:space="0" w:color="auto"/>
        <w:right w:val="none" w:sz="0" w:space="0" w:color="auto"/>
      </w:divBdr>
    </w:div>
    <w:div w:id="1077362508">
      <w:bodyDiv w:val="1"/>
      <w:marLeft w:val="0"/>
      <w:marRight w:val="0"/>
      <w:marTop w:val="0"/>
      <w:marBottom w:val="0"/>
      <w:divBdr>
        <w:top w:val="none" w:sz="0" w:space="0" w:color="auto"/>
        <w:left w:val="none" w:sz="0" w:space="0" w:color="auto"/>
        <w:bottom w:val="none" w:sz="0" w:space="0" w:color="auto"/>
        <w:right w:val="none" w:sz="0" w:space="0" w:color="auto"/>
      </w:divBdr>
    </w:div>
    <w:div w:id="1104182200">
      <w:bodyDiv w:val="1"/>
      <w:marLeft w:val="0"/>
      <w:marRight w:val="0"/>
      <w:marTop w:val="0"/>
      <w:marBottom w:val="0"/>
      <w:divBdr>
        <w:top w:val="none" w:sz="0" w:space="0" w:color="auto"/>
        <w:left w:val="none" w:sz="0" w:space="0" w:color="auto"/>
        <w:bottom w:val="none" w:sz="0" w:space="0" w:color="auto"/>
        <w:right w:val="none" w:sz="0" w:space="0" w:color="auto"/>
      </w:divBdr>
    </w:div>
    <w:div w:id="1807965269">
      <w:bodyDiv w:val="1"/>
      <w:marLeft w:val="0"/>
      <w:marRight w:val="0"/>
      <w:marTop w:val="0"/>
      <w:marBottom w:val="0"/>
      <w:divBdr>
        <w:top w:val="none" w:sz="0" w:space="0" w:color="auto"/>
        <w:left w:val="none" w:sz="0" w:space="0" w:color="auto"/>
        <w:bottom w:val="none" w:sz="0" w:space="0" w:color="auto"/>
        <w:right w:val="none" w:sz="0" w:space="0" w:color="auto"/>
      </w:divBdr>
    </w:div>
    <w:div w:id="1849638880">
      <w:bodyDiv w:val="1"/>
      <w:marLeft w:val="0"/>
      <w:marRight w:val="0"/>
      <w:marTop w:val="0"/>
      <w:marBottom w:val="0"/>
      <w:divBdr>
        <w:top w:val="none" w:sz="0" w:space="0" w:color="auto"/>
        <w:left w:val="none" w:sz="0" w:space="0" w:color="auto"/>
        <w:bottom w:val="none" w:sz="0" w:space="0" w:color="auto"/>
        <w:right w:val="none" w:sz="0" w:space="0" w:color="auto"/>
      </w:divBdr>
    </w:div>
    <w:div w:id="1951010284">
      <w:bodyDiv w:val="1"/>
      <w:marLeft w:val="0"/>
      <w:marRight w:val="0"/>
      <w:marTop w:val="0"/>
      <w:marBottom w:val="0"/>
      <w:divBdr>
        <w:top w:val="none" w:sz="0" w:space="0" w:color="auto"/>
        <w:left w:val="none" w:sz="0" w:space="0" w:color="auto"/>
        <w:bottom w:val="none" w:sz="0" w:space="0" w:color="auto"/>
        <w:right w:val="none" w:sz="0" w:space="0" w:color="auto"/>
      </w:divBdr>
    </w:div>
    <w:div w:id="197309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s://www.google.com/url?sa=t&amp;rct=j&amp;q=&amp;esrc=s&amp;source=web&amp;cd=1&amp;cad=rja&amp;uact=8&amp;ved=2ahUKEwjHwfjYk4rlAhWR6aQKHe9xCVEQFjAAegQIBBAC&amp;url=http%3A%2F%2Fec.europa.eu%2Fcommfrontoffice%2Fpublicopinion%2Findex.cfm%2FResultDoc%2Fdownload%2FDocumentKy%2F83551&amp;usg=AOvVaw0zvNp9tnDVAeWOI0OZUIE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ELA-INFO@ec.europa.eu"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footer" Target="footer1.xml"/><Relationship Id="rId19" Type="http://schemas.openxmlformats.org/officeDocument/2006/relationships/hyperlink" Target="https://eur-lex.europa.eu/eli/dec_impl/2018/170/o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01962R0031-2014050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GB" dirty="0">
                <a:solidFill>
                  <a:srgbClr val="993366"/>
                </a:solidFill>
              </a:rPr>
              <a:t>Estimated Financial Resources</a:t>
            </a:r>
          </a:p>
        </c:rich>
      </c:tx>
      <c:layout>
        <c:manualLayout>
          <c:xMode val="edge"/>
          <c:yMode val="edge"/>
          <c:x val="0.1708966461327858"/>
          <c:y val="1.8518518518518517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744183414444858"/>
          <c:y val="0.17171296296296298"/>
          <c:w val="0.75304418197725287"/>
          <c:h val="0.72088764946048411"/>
        </c:manualLayout>
      </c:layout>
      <c:lineChart>
        <c:grouping val="stacked"/>
        <c:varyColors val="0"/>
        <c:ser>
          <c:idx val="0"/>
          <c:order val="0"/>
          <c:spPr>
            <a:ln w="28575" cap="rnd">
              <a:solidFill>
                <a:srgbClr val="993366"/>
              </a:solidFill>
              <a:round/>
            </a:ln>
            <a:effectLst/>
          </c:spPr>
          <c:marker>
            <c:symbol val="none"/>
          </c:marker>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numRef>
              <c:f>Sheet1!$J$2:$O$2</c:f>
              <c:numCache>
                <c:formatCode>General</c:formatCode>
                <c:ptCount val="6"/>
                <c:pt idx="0">
                  <c:v>2019</c:v>
                </c:pt>
                <c:pt idx="1">
                  <c:v>2020</c:v>
                </c:pt>
                <c:pt idx="2">
                  <c:v>2021</c:v>
                </c:pt>
                <c:pt idx="3">
                  <c:v>2022</c:v>
                </c:pt>
                <c:pt idx="4">
                  <c:v>2023</c:v>
                </c:pt>
                <c:pt idx="5">
                  <c:v>2024</c:v>
                </c:pt>
              </c:numCache>
            </c:numRef>
          </c:cat>
          <c:val>
            <c:numRef>
              <c:f>Sheet1!$J$3:$O$3</c:f>
              <c:numCache>
                <c:formatCode>0.0</c:formatCode>
                <c:ptCount val="6"/>
                <c:pt idx="0">
                  <c:v>2124650</c:v>
                </c:pt>
                <c:pt idx="1">
                  <c:v>15683250</c:v>
                </c:pt>
                <c:pt idx="2">
                  <c:v>29977000</c:v>
                </c:pt>
                <c:pt idx="3">
                  <c:v>37001250</c:v>
                </c:pt>
                <c:pt idx="4">
                  <c:v>42842500</c:v>
                </c:pt>
                <c:pt idx="5">
                  <c:v>49534000</c:v>
                </c:pt>
              </c:numCache>
            </c:numRef>
          </c:val>
          <c:smooth val="0"/>
          <c:extLst>
            <c:ext xmlns:c16="http://schemas.microsoft.com/office/drawing/2014/chart" uri="{C3380CC4-5D6E-409C-BE32-E72D297353CC}">
              <c16:uniqueId val="{00000000-F4D2-41B8-8D8D-EFFF4966CB07}"/>
            </c:ext>
          </c:extLst>
        </c:ser>
        <c:dLbls>
          <c:dLblPos val="ctr"/>
          <c:showLegendKey val="0"/>
          <c:showVal val="1"/>
          <c:showCatName val="0"/>
          <c:showSerName val="0"/>
          <c:showPercent val="0"/>
          <c:showBubbleSize val="0"/>
        </c:dLbls>
        <c:smooth val="0"/>
        <c:axId val="406305712"/>
        <c:axId val="406306040"/>
      </c:lineChart>
      <c:catAx>
        <c:axId val="40630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06306040"/>
        <c:crosses val="autoZero"/>
        <c:auto val="1"/>
        <c:lblAlgn val="ctr"/>
        <c:lblOffset val="100"/>
        <c:noMultiLvlLbl val="0"/>
      </c:catAx>
      <c:valAx>
        <c:axId val="406306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06305712"/>
        <c:crosses val="autoZero"/>
        <c:crossBetween val="between"/>
        <c:dispUnits>
          <c:builtInUnit val="millions"/>
          <c:dispUnitsLbl>
            <c:layout/>
            <c:spPr>
              <a:noFill/>
              <a:ln>
                <a:noFill/>
              </a:ln>
              <a:effectLst/>
            </c:spPr>
            <c:txPr>
              <a:bodyPr rot="-5400000" spcFirstLastPara="1" vertOverflow="ellipsis" vert="horz" wrap="square" anchor="ctr" anchorCtr="1"/>
              <a:lstStyle/>
              <a:p>
                <a:pPr>
                  <a:defRPr sz="133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8EA51A-D921-4839-9101-BB23A282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10057</Words>
  <Characters>52397</Characters>
  <Application>Microsoft Office Word</Application>
  <DocSecurity>0</DocSecurity>
  <Lines>919</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2020-04-27T14:59:00Z</dcterms:created>
  <dcterms:modified xsi:type="dcterms:W3CDTF">2020-05-11T10:23:00Z</dcterms:modified>
</cp:coreProperties>
</file>