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A6" w:rsidRPr="001E3643" w:rsidRDefault="009B56A6" w:rsidP="00B71CAC">
      <w:pPr>
        <w:jc w:val="center"/>
        <w:rPr>
          <w:rFonts w:ascii="Arial" w:hAnsi="Arial" w:cs="Arial"/>
          <w:b/>
          <w:sz w:val="24"/>
          <w:szCs w:val="24"/>
          <w:lang w:val="en-US"/>
        </w:rPr>
      </w:pPr>
      <w:r w:rsidRPr="001E3643">
        <w:rPr>
          <w:rFonts w:ascii="Arial" w:hAnsi="Arial" w:cs="Arial"/>
          <w:noProof/>
          <w:sz w:val="24"/>
          <w:szCs w:val="24"/>
          <w:lang w:val="en-US"/>
        </w:rPr>
        <w:drawing>
          <wp:inline distT="0" distB="0" distL="0" distR="0" wp14:anchorId="65FAE02B" wp14:editId="6476B13A">
            <wp:extent cx="1828800" cy="675640"/>
            <wp:effectExtent l="0" t="0" r="0" b="0"/>
            <wp:docPr id="2" name="Picture 2"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11">
                      <a:extLst>
                        <a:ext uri="{28A0092B-C50C-407E-A947-70E740481C1C}">
                          <a14:useLocalDpi xmlns:a14="http://schemas.microsoft.com/office/drawing/2010/main" val="0"/>
                        </a:ext>
                      </a:extLst>
                    </a:blip>
                    <a:srcRect l="36639" t="48157" r="38823" b="45422"/>
                    <a:stretch>
                      <a:fillRect/>
                    </a:stretch>
                  </pic:blipFill>
                  <pic:spPr bwMode="auto">
                    <a:xfrm>
                      <a:off x="0" y="0"/>
                      <a:ext cx="1828800" cy="675640"/>
                    </a:xfrm>
                    <a:prstGeom prst="rect">
                      <a:avLst/>
                    </a:prstGeom>
                    <a:noFill/>
                    <a:ln>
                      <a:noFill/>
                    </a:ln>
                  </pic:spPr>
                </pic:pic>
              </a:graphicData>
            </a:graphic>
          </wp:inline>
        </w:drawing>
      </w:r>
    </w:p>
    <w:p w:rsidR="009B56A6" w:rsidRPr="001E3643" w:rsidRDefault="009B56A6" w:rsidP="009B56A6">
      <w:pPr>
        <w:autoSpaceDE w:val="0"/>
        <w:autoSpaceDN w:val="0"/>
        <w:adjustRightInd w:val="0"/>
        <w:spacing w:before="160" w:after="160" w:line="288" w:lineRule="auto"/>
        <w:jc w:val="center"/>
        <w:rPr>
          <w:rFonts w:ascii="Arial" w:hAnsi="Arial" w:cs="Arial"/>
          <w:b/>
          <w:bCs/>
          <w:sz w:val="24"/>
          <w:szCs w:val="24"/>
        </w:rPr>
      </w:pPr>
      <w:r w:rsidRPr="001E3643">
        <w:rPr>
          <w:rFonts w:ascii="Arial" w:hAnsi="Arial" w:cs="Arial"/>
          <w:b/>
          <w:bCs/>
          <w:sz w:val="24"/>
          <w:szCs w:val="24"/>
        </w:rPr>
        <w:t>Decision No 7/2020</w:t>
      </w:r>
    </w:p>
    <w:p w:rsidR="009B56A6" w:rsidRPr="001E3643" w:rsidRDefault="005E5CD6" w:rsidP="009B56A6">
      <w:pPr>
        <w:autoSpaceDE w:val="0"/>
        <w:autoSpaceDN w:val="0"/>
        <w:adjustRightInd w:val="0"/>
        <w:spacing w:before="160" w:after="160" w:line="288" w:lineRule="auto"/>
        <w:jc w:val="center"/>
        <w:rPr>
          <w:rFonts w:ascii="Arial" w:hAnsi="Arial" w:cs="Arial"/>
          <w:b/>
          <w:bCs/>
          <w:sz w:val="24"/>
          <w:szCs w:val="24"/>
        </w:rPr>
      </w:pPr>
      <w:r>
        <w:rPr>
          <w:rFonts w:ascii="Arial" w:hAnsi="Arial" w:cs="Arial"/>
          <w:b/>
          <w:bCs/>
          <w:sz w:val="24"/>
          <w:szCs w:val="24"/>
        </w:rPr>
        <w:t>of 25</w:t>
      </w:r>
      <w:r w:rsidR="009B56A6" w:rsidRPr="001E3643">
        <w:rPr>
          <w:rFonts w:ascii="Arial" w:hAnsi="Arial" w:cs="Arial"/>
          <w:b/>
          <w:bCs/>
          <w:sz w:val="24"/>
          <w:szCs w:val="24"/>
        </w:rPr>
        <w:t xml:space="preserve"> March 2020</w:t>
      </w:r>
    </w:p>
    <w:p w:rsidR="00F97604" w:rsidRPr="001E3643" w:rsidRDefault="009B56A6" w:rsidP="009B56A6">
      <w:pPr>
        <w:autoSpaceDE w:val="0"/>
        <w:autoSpaceDN w:val="0"/>
        <w:adjustRightInd w:val="0"/>
        <w:spacing w:before="160" w:after="160" w:line="288" w:lineRule="auto"/>
        <w:jc w:val="center"/>
        <w:rPr>
          <w:rFonts w:ascii="Arial" w:hAnsi="Arial" w:cs="Arial"/>
          <w:b/>
          <w:bCs/>
          <w:sz w:val="24"/>
          <w:szCs w:val="24"/>
        </w:rPr>
      </w:pPr>
      <w:r w:rsidRPr="001E3643">
        <w:rPr>
          <w:rFonts w:ascii="Arial" w:hAnsi="Arial" w:cs="Arial"/>
          <w:b/>
          <w:bCs/>
          <w:sz w:val="24"/>
          <w:szCs w:val="24"/>
        </w:rPr>
        <w:t>of the Management Board</w:t>
      </w:r>
    </w:p>
    <w:p w:rsidR="00592EE1" w:rsidRPr="001E3643" w:rsidRDefault="00592EE1" w:rsidP="009B56A6">
      <w:pPr>
        <w:autoSpaceDE w:val="0"/>
        <w:autoSpaceDN w:val="0"/>
        <w:adjustRightInd w:val="0"/>
        <w:spacing w:before="160" w:after="160" w:line="288" w:lineRule="auto"/>
        <w:jc w:val="center"/>
        <w:rPr>
          <w:rFonts w:ascii="Arial" w:hAnsi="Arial" w:cs="Arial"/>
          <w:b/>
          <w:bCs/>
          <w:sz w:val="24"/>
          <w:szCs w:val="24"/>
        </w:rPr>
      </w:pPr>
      <w:r w:rsidRPr="001E3643">
        <w:rPr>
          <w:rFonts w:ascii="Arial" w:hAnsi="Arial" w:cs="Arial"/>
          <w:b/>
          <w:bCs/>
          <w:sz w:val="24"/>
          <w:szCs w:val="24"/>
        </w:rPr>
        <w:t xml:space="preserve">of the </w:t>
      </w:r>
      <w:r w:rsidR="00FE62BE" w:rsidRPr="001E3643">
        <w:rPr>
          <w:rFonts w:ascii="Arial" w:hAnsi="Arial" w:cs="Arial"/>
          <w:b/>
          <w:bCs/>
          <w:sz w:val="24"/>
          <w:szCs w:val="24"/>
        </w:rPr>
        <w:t>European Labour Authority</w:t>
      </w:r>
      <w:r w:rsidRPr="001E3643">
        <w:rPr>
          <w:rFonts w:ascii="Arial" w:hAnsi="Arial" w:cs="Arial"/>
          <w:b/>
          <w:bCs/>
          <w:sz w:val="24"/>
          <w:szCs w:val="24"/>
        </w:rPr>
        <w:t xml:space="preserve"> concerning the annual appraisal, probationary and management trial </w:t>
      </w:r>
      <w:r w:rsidR="00FE62BE" w:rsidRPr="001E3643">
        <w:rPr>
          <w:rFonts w:ascii="Arial" w:hAnsi="Arial" w:cs="Arial"/>
          <w:b/>
          <w:bCs/>
          <w:sz w:val="24"/>
          <w:szCs w:val="24"/>
        </w:rPr>
        <w:t>period of the</w:t>
      </w:r>
      <w:r w:rsidR="00446A61" w:rsidRPr="001E3643">
        <w:rPr>
          <w:rFonts w:ascii="Arial" w:hAnsi="Arial" w:cs="Arial"/>
          <w:b/>
          <w:bCs/>
          <w:sz w:val="24"/>
          <w:szCs w:val="24"/>
        </w:rPr>
        <w:t xml:space="preserve"> </w:t>
      </w:r>
      <w:r w:rsidRPr="001E3643">
        <w:rPr>
          <w:rFonts w:ascii="Arial" w:hAnsi="Arial" w:cs="Arial"/>
          <w:b/>
          <w:bCs/>
          <w:sz w:val="24"/>
          <w:szCs w:val="24"/>
        </w:rPr>
        <w:t>Executive Director</w:t>
      </w:r>
      <w:r w:rsidR="00FE62BE" w:rsidRPr="001E3643">
        <w:rPr>
          <w:rFonts w:ascii="Arial" w:hAnsi="Arial" w:cs="Arial"/>
          <w:b/>
          <w:bCs/>
          <w:sz w:val="24"/>
          <w:szCs w:val="24"/>
        </w:rPr>
        <w:t xml:space="preserve"> of the Authority</w:t>
      </w:r>
      <w:r w:rsidRPr="001E3643">
        <w:rPr>
          <w:rFonts w:ascii="Arial" w:hAnsi="Arial" w:cs="Arial"/>
          <w:b/>
          <w:bCs/>
          <w:sz w:val="24"/>
          <w:szCs w:val="24"/>
        </w:rPr>
        <w:t xml:space="preserve"> </w:t>
      </w:r>
    </w:p>
    <w:p w:rsidR="00592EE1" w:rsidRPr="001E3643" w:rsidRDefault="00592EE1" w:rsidP="00592EE1">
      <w:pPr>
        <w:pStyle w:val="Default"/>
        <w:jc w:val="center"/>
      </w:pPr>
    </w:p>
    <w:p w:rsidR="00592EE1" w:rsidRPr="001E3643" w:rsidRDefault="00592EE1" w:rsidP="00592EE1">
      <w:pPr>
        <w:spacing w:after="0" w:line="240" w:lineRule="auto"/>
        <w:ind w:right="361" w:hanging="7"/>
        <w:jc w:val="both"/>
        <w:rPr>
          <w:rFonts w:ascii="Arial" w:hAnsi="Arial" w:cs="Arial"/>
          <w:color w:val="000000" w:themeColor="text1"/>
          <w:sz w:val="24"/>
          <w:szCs w:val="24"/>
        </w:rPr>
      </w:pPr>
    </w:p>
    <w:p w:rsidR="00592EE1" w:rsidRPr="001E3643" w:rsidRDefault="009B56A6" w:rsidP="00592EE1">
      <w:pPr>
        <w:pStyle w:val="Default"/>
        <w:rPr>
          <w:noProof/>
        </w:rPr>
      </w:pPr>
      <w:r w:rsidRPr="001E3643">
        <w:rPr>
          <w:noProof/>
        </w:rPr>
        <w:t>THE MANAGEMENT BOARD OF THE EUROPEAN LABOUR AUTHORITY,</w:t>
      </w:r>
    </w:p>
    <w:p w:rsidR="009B56A6" w:rsidRPr="001E3643" w:rsidRDefault="009B56A6" w:rsidP="00592EE1">
      <w:pPr>
        <w:pStyle w:val="Default"/>
      </w:pPr>
    </w:p>
    <w:p w:rsidR="00592EE1" w:rsidRPr="001E3643" w:rsidRDefault="00592EE1" w:rsidP="009B56A6">
      <w:pPr>
        <w:spacing w:before="120" w:after="120" w:line="240" w:lineRule="auto"/>
        <w:jc w:val="both"/>
        <w:rPr>
          <w:rFonts w:ascii="Arial" w:hAnsi="Arial" w:cs="Arial"/>
          <w:noProof/>
          <w:sz w:val="24"/>
          <w:szCs w:val="24"/>
        </w:rPr>
      </w:pPr>
      <w:r w:rsidRPr="001E3643">
        <w:rPr>
          <w:rFonts w:ascii="Arial" w:hAnsi="Arial" w:cs="Arial"/>
          <w:noProof/>
          <w:sz w:val="24"/>
          <w:szCs w:val="24"/>
        </w:rPr>
        <w:t>Having regard to the Treaty on the Functioning of the European Union,</w:t>
      </w:r>
    </w:p>
    <w:p w:rsidR="00592EE1" w:rsidRPr="001E3643" w:rsidRDefault="00592EE1" w:rsidP="009B56A6">
      <w:pPr>
        <w:spacing w:before="120" w:after="120" w:line="240" w:lineRule="auto"/>
        <w:jc w:val="both"/>
        <w:rPr>
          <w:rFonts w:ascii="Arial" w:hAnsi="Arial" w:cs="Arial"/>
          <w:noProof/>
          <w:sz w:val="24"/>
          <w:szCs w:val="24"/>
        </w:rPr>
      </w:pPr>
      <w:r w:rsidRPr="001E3643">
        <w:rPr>
          <w:rFonts w:ascii="Arial" w:hAnsi="Arial" w:cs="Arial"/>
          <w:noProof/>
          <w:sz w:val="24"/>
          <w:szCs w:val="24"/>
        </w:rPr>
        <w:t>Having regard to the Staff Regulations of Officials (‘Staff Regulations’) and the Conditions of Employment of Other Servants (‘CEOS’) of the European Union, laid down by Council Regulation (EEC, Euratom, ECSC) No 259/68</w:t>
      </w:r>
      <w:r w:rsidRPr="001E3643">
        <w:rPr>
          <w:noProof/>
          <w:sz w:val="24"/>
          <w:szCs w:val="24"/>
          <w:vertAlign w:val="superscript"/>
        </w:rPr>
        <w:footnoteReference w:id="1"/>
      </w:r>
      <w:r w:rsidRPr="001E3643">
        <w:rPr>
          <w:rFonts w:ascii="Arial" w:hAnsi="Arial" w:cs="Arial"/>
          <w:noProof/>
          <w:sz w:val="24"/>
          <w:szCs w:val="24"/>
        </w:rPr>
        <w:t xml:space="preserve">, and in particular Articles 43, 44 and 46 of the Staff Regulations and Articles 14, 15 and 20 of the CEOS, </w:t>
      </w:r>
    </w:p>
    <w:p w:rsidR="008B58E6" w:rsidRPr="001E3643" w:rsidRDefault="00506D68" w:rsidP="009B56A6">
      <w:pPr>
        <w:spacing w:before="120" w:after="120" w:line="240" w:lineRule="auto"/>
        <w:jc w:val="both"/>
        <w:rPr>
          <w:rFonts w:ascii="Arial" w:hAnsi="Arial" w:cs="Arial"/>
          <w:noProof/>
          <w:sz w:val="24"/>
          <w:szCs w:val="24"/>
        </w:rPr>
      </w:pPr>
      <w:r w:rsidRPr="001E3643">
        <w:rPr>
          <w:rFonts w:ascii="Arial" w:hAnsi="Arial" w:cs="Arial"/>
          <w:noProof/>
          <w:sz w:val="24"/>
          <w:szCs w:val="24"/>
        </w:rPr>
        <w:t xml:space="preserve">Having regard to Regulation </w:t>
      </w:r>
      <w:r w:rsidR="008B58E6" w:rsidRPr="001E3643">
        <w:rPr>
          <w:rFonts w:ascii="Arial" w:hAnsi="Arial" w:cs="Arial"/>
          <w:noProof/>
          <w:sz w:val="24"/>
          <w:szCs w:val="24"/>
        </w:rPr>
        <w:t>(EU) 2019/1149 of the European Parliament and of the Council of 20 June 2019 establishing a European Labour Authority amending Regulations (EC) No 883/2004, (EU) No 492/2011, and (EU) 2016/589 and repealing Decision (EU) 2016/344</w:t>
      </w:r>
      <w:r w:rsidR="008B58E6" w:rsidRPr="001E3643">
        <w:rPr>
          <w:rFonts w:ascii="Arial" w:hAnsi="Arial" w:cs="Arial"/>
          <w:noProof/>
          <w:sz w:val="24"/>
          <w:szCs w:val="24"/>
          <w:vertAlign w:val="superscript"/>
        </w:rPr>
        <w:footnoteReference w:id="2"/>
      </w:r>
      <w:r w:rsidR="008B58E6" w:rsidRPr="001E3643">
        <w:rPr>
          <w:rFonts w:ascii="Arial" w:hAnsi="Arial" w:cs="Arial"/>
          <w:noProof/>
          <w:sz w:val="24"/>
          <w:szCs w:val="24"/>
        </w:rPr>
        <w:t xml:space="preserve"> (hereinafter</w:t>
      </w:r>
      <w:r w:rsidR="005207F6">
        <w:rPr>
          <w:rFonts w:ascii="Arial" w:hAnsi="Arial" w:cs="Arial"/>
          <w:noProof/>
          <w:sz w:val="24"/>
          <w:szCs w:val="24"/>
        </w:rPr>
        <w:t xml:space="preserve"> ‘the</w:t>
      </w:r>
      <w:r w:rsidR="009B56A6" w:rsidRPr="001E3643">
        <w:rPr>
          <w:rFonts w:ascii="Arial" w:hAnsi="Arial" w:cs="Arial"/>
          <w:noProof/>
          <w:sz w:val="24"/>
          <w:szCs w:val="24"/>
        </w:rPr>
        <w:t xml:space="preserve"> Regulation’ and ‘the Authority’</w:t>
      </w:r>
      <w:r w:rsidR="008B58E6" w:rsidRPr="001E3643">
        <w:rPr>
          <w:rFonts w:ascii="Arial" w:hAnsi="Arial" w:cs="Arial"/>
          <w:noProof/>
          <w:sz w:val="24"/>
          <w:szCs w:val="24"/>
        </w:rPr>
        <w:t>), and in particular Article</w:t>
      </w:r>
      <w:r w:rsidR="00343EA3" w:rsidRPr="001E3643">
        <w:rPr>
          <w:rFonts w:ascii="Arial" w:hAnsi="Arial" w:cs="Arial"/>
          <w:noProof/>
          <w:sz w:val="24"/>
          <w:szCs w:val="24"/>
        </w:rPr>
        <w:t xml:space="preserve">s 18(1) paragraphs (l) and (m), 30 and 31(1) </w:t>
      </w:r>
      <w:r w:rsidR="009B56A6" w:rsidRPr="001E3643">
        <w:rPr>
          <w:rFonts w:ascii="Arial" w:hAnsi="Arial" w:cs="Arial"/>
          <w:noProof/>
          <w:sz w:val="24"/>
          <w:szCs w:val="24"/>
        </w:rPr>
        <w:t>thereof</w:t>
      </w:r>
      <w:r w:rsidR="008B58E6" w:rsidRPr="001E3643">
        <w:rPr>
          <w:rFonts w:ascii="Arial" w:hAnsi="Arial" w:cs="Arial"/>
          <w:noProof/>
          <w:sz w:val="24"/>
          <w:szCs w:val="24"/>
        </w:rPr>
        <w:t xml:space="preserve">, </w:t>
      </w:r>
    </w:p>
    <w:p w:rsidR="001B74A3" w:rsidRPr="001E3643" w:rsidRDefault="00592EE1" w:rsidP="009B56A6">
      <w:pPr>
        <w:spacing w:before="120" w:after="120" w:line="240" w:lineRule="auto"/>
        <w:jc w:val="both"/>
        <w:rPr>
          <w:rFonts w:ascii="Arial" w:hAnsi="Arial" w:cs="Arial"/>
          <w:noProof/>
          <w:sz w:val="24"/>
          <w:szCs w:val="24"/>
        </w:rPr>
      </w:pPr>
      <w:r w:rsidRPr="001E3643">
        <w:rPr>
          <w:rFonts w:ascii="Arial" w:hAnsi="Arial" w:cs="Arial"/>
          <w:noProof/>
          <w:sz w:val="24"/>
          <w:szCs w:val="24"/>
        </w:rPr>
        <w:t>Having regard to the Commission’s Decisio</w:t>
      </w:r>
      <w:r w:rsidR="008B58E6" w:rsidRPr="001E3643">
        <w:rPr>
          <w:rFonts w:ascii="Arial" w:hAnsi="Arial" w:cs="Arial"/>
          <w:noProof/>
          <w:sz w:val="24"/>
          <w:szCs w:val="24"/>
        </w:rPr>
        <w:t xml:space="preserve">n </w:t>
      </w:r>
      <w:r w:rsidRPr="001E3643">
        <w:rPr>
          <w:rFonts w:ascii="Arial" w:hAnsi="Arial" w:cs="Arial"/>
          <w:noProof/>
          <w:sz w:val="24"/>
          <w:szCs w:val="24"/>
        </w:rPr>
        <w:t>giving its agreement pursuant Article 110(2) of the Staff Regulations</w:t>
      </w:r>
      <w:r w:rsidR="00343EA3" w:rsidRPr="001E3643">
        <w:rPr>
          <w:rFonts w:ascii="Arial" w:hAnsi="Arial" w:cs="Arial"/>
          <w:noProof/>
          <w:sz w:val="24"/>
          <w:szCs w:val="24"/>
        </w:rPr>
        <w:t xml:space="preserve"> C(2019) </w:t>
      </w:r>
      <w:r w:rsidR="00343EA3" w:rsidRPr="001E3643">
        <w:rPr>
          <w:rFonts w:ascii="Arial" w:hAnsi="Arial" w:cs="Arial"/>
          <w:noProof/>
          <w:sz w:val="24"/>
          <w:szCs w:val="24"/>
          <w:highlight w:val="yellow"/>
        </w:rPr>
        <w:t>[NN] of [DD] [Month] 2019</w:t>
      </w:r>
      <w:r w:rsidRPr="001E3643">
        <w:rPr>
          <w:rFonts w:ascii="Arial" w:hAnsi="Arial" w:cs="Arial"/>
          <w:noProof/>
          <w:sz w:val="24"/>
          <w:szCs w:val="24"/>
        </w:rPr>
        <w:t>.</w:t>
      </w:r>
    </w:p>
    <w:p w:rsidR="00592EE1" w:rsidRPr="001E3643" w:rsidRDefault="00787F8F" w:rsidP="009B56A6">
      <w:pPr>
        <w:spacing w:before="120" w:after="0" w:line="240" w:lineRule="auto"/>
        <w:jc w:val="both"/>
        <w:rPr>
          <w:rFonts w:ascii="Arial" w:hAnsi="Arial" w:cs="Arial"/>
          <w:noProof/>
          <w:sz w:val="24"/>
          <w:szCs w:val="24"/>
        </w:rPr>
      </w:pPr>
      <w:r w:rsidRPr="001E3643">
        <w:rPr>
          <w:rFonts w:ascii="Arial" w:hAnsi="Arial" w:cs="Arial"/>
          <w:noProof/>
          <w:sz w:val="24"/>
          <w:szCs w:val="24"/>
        </w:rPr>
        <w:t>After informing the S</w:t>
      </w:r>
      <w:r w:rsidR="001B74A3" w:rsidRPr="001E3643">
        <w:rPr>
          <w:rFonts w:ascii="Arial" w:hAnsi="Arial" w:cs="Arial"/>
          <w:noProof/>
          <w:sz w:val="24"/>
          <w:szCs w:val="24"/>
        </w:rPr>
        <w:t>taff,</w:t>
      </w:r>
    </w:p>
    <w:p w:rsidR="00592EE1" w:rsidRPr="001E3643" w:rsidRDefault="00592EE1" w:rsidP="009B56A6">
      <w:pPr>
        <w:spacing w:before="240" w:after="240" w:line="240" w:lineRule="auto"/>
        <w:jc w:val="both"/>
        <w:rPr>
          <w:rFonts w:ascii="Arial" w:hAnsi="Arial" w:cs="Arial"/>
          <w:noProof/>
          <w:sz w:val="24"/>
          <w:szCs w:val="24"/>
          <w:lang w:bidi="en-GB"/>
        </w:rPr>
      </w:pPr>
      <w:r w:rsidRPr="001E3643">
        <w:rPr>
          <w:rFonts w:ascii="Arial" w:hAnsi="Arial" w:cs="Arial"/>
          <w:noProof/>
          <w:sz w:val="24"/>
          <w:szCs w:val="24"/>
          <w:lang w:bidi="en-GB"/>
        </w:rPr>
        <w:t>Whereas:</w:t>
      </w:r>
    </w:p>
    <w:p w:rsidR="00592EE1" w:rsidRPr="001E3643" w:rsidRDefault="00592EE1" w:rsidP="009B56A6">
      <w:pPr>
        <w:numPr>
          <w:ilvl w:val="0"/>
          <w:numId w:val="1"/>
        </w:numPr>
        <w:spacing w:after="120" w:line="240" w:lineRule="auto"/>
        <w:ind w:left="567" w:hanging="567"/>
        <w:jc w:val="both"/>
        <w:rPr>
          <w:rFonts w:ascii="Arial" w:eastAsia="Times New Roman" w:hAnsi="Arial" w:cs="Arial"/>
          <w:noProof/>
          <w:sz w:val="24"/>
          <w:szCs w:val="24"/>
          <w:lang w:eastAsia="en-GB"/>
        </w:rPr>
      </w:pPr>
      <w:r w:rsidRPr="001E3643">
        <w:rPr>
          <w:rFonts w:ascii="Arial" w:eastAsia="Times New Roman" w:hAnsi="Arial" w:cs="Arial"/>
          <w:noProof/>
          <w:sz w:val="24"/>
          <w:szCs w:val="24"/>
          <w:lang w:eastAsia="en-GB"/>
        </w:rPr>
        <w:t>Pursuant to Article 3</w:t>
      </w:r>
      <w:r w:rsidR="008A0795" w:rsidRPr="001E3643">
        <w:rPr>
          <w:rFonts w:ascii="Arial" w:eastAsia="Times New Roman" w:hAnsi="Arial" w:cs="Arial"/>
          <w:noProof/>
          <w:sz w:val="24"/>
          <w:szCs w:val="24"/>
          <w:lang w:eastAsia="en-GB"/>
        </w:rPr>
        <w:t>0</w:t>
      </w:r>
      <w:r w:rsidRPr="001E3643">
        <w:rPr>
          <w:rFonts w:ascii="Arial" w:eastAsia="Times New Roman" w:hAnsi="Arial" w:cs="Arial"/>
          <w:noProof/>
          <w:sz w:val="24"/>
          <w:szCs w:val="24"/>
          <w:lang w:eastAsia="en-GB"/>
        </w:rPr>
        <w:t xml:space="preserve"> of the Regulation, the Staff Regulations and the CEOS are applicable to the staff of </w:t>
      </w:r>
      <w:r w:rsidR="009B56A6" w:rsidRPr="001E3643">
        <w:rPr>
          <w:rFonts w:ascii="Arial" w:eastAsia="Times New Roman" w:hAnsi="Arial" w:cs="Arial"/>
          <w:noProof/>
          <w:sz w:val="24"/>
          <w:szCs w:val="24"/>
          <w:lang w:eastAsia="en-GB"/>
        </w:rPr>
        <w:t>the Authority</w:t>
      </w:r>
      <w:r w:rsidRPr="001E3643">
        <w:rPr>
          <w:rFonts w:ascii="Arial" w:eastAsia="Times New Roman" w:hAnsi="Arial" w:cs="Arial"/>
          <w:noProof/>
          <w:sz w:val="24"/>
          <w:szCs w:val="24"/>
          <w:lang w:eastAsia="en-GB"/>
        </w:rPr>
        <w:t>.</w:t>
      </w:r>
    </w:p>
    <w:p w:rsidR="00592EE1" w:rsidRPr="001E3643" w:rsidRDefault="00592EE1" w:rsidP="009B56A6">
      <w:pPr>
        <w:numPr>
          <w:ilvl w:val="0"/>
          <w:numId w:val="1"/>
        </w:numPr>
        <w:spacing w:after="120" w:line="240" w:lineRule="auto"/>
        <w:ind w:left="567" w:hanging="567"/>
        <w:jc w:val="both"/>
        <w:rPr>
          <w:rFonts w:ascii="Arial" w:eastAsia="Times New Roman" w:hAnsi="Arial" w:cs="Arial"/>
          <w:noProof/>
          <w:sz w:val="24"/>
          <w:szCs w:val="24"/>
          <w:lang w:eastAsia="en-GB"/>
        </w:rPr>
      </w:pPr>
      <w:r w:rsidRPr="001E3643">
        <w:rPr>
          <w:rFonts w:ascii="Arial" w:eastAsia="Times New Roman" w:hAnsi="Arial" w:cs="Arial"/>
          <w:noProof/>
          <w:sz w:val="24"/>
          <w:szCs w:val="24"/>
          <w:lang w:eastAsia="en-GB"/>
        </w:rPr>
        <w:t>Pursuant to Article 1</w:t>
      </w:r>
      <w:r w:rsidR="00117196" w:rsidRPr="001E3643">
        <w:rPr>
          <w:rFonts w:ascii="Arial" w:eastAsia="Times New Roman" w:hAnsi="Arial" w:cs="Arial"/>
          <w:noProof/>
          <w:sz w:val="24"/>
          <w:szCs w:val="24"/>
          <w:lang w:eastAsia="en-GB"/>
        </w:rPr>
        <w:t>8</w:t>
      </w:r>
      <w:r w:rsidR="00343EA3" w:rsidRPr="001E3643">
        <w:rPr>
          <w:rFonts w:ascii="Arial" w:eastAsia="Times New Roman" w:hAnsi="Arial" w:cs="Arial"/>
          <w:noProof/>
          <w:sz w:val="24"/>
          <w:szCs w:val="24"/>
          <w:lang w:eastAsia="en-GB"/>
        </w:rPr>
        <w:t>(1), paragraph</w:t>
      </w:r>
      <w:r w:rsidR="00DD688B" w:rsidRPr="001E3643">
        <w:rPr>
          <w:rFonts w:ascii="Arial" w:eastAsia="Times New Roman" w:hAnsi="Arial" w:cs="Arial"/>
          <w:noProof/>
          <w:sz w:val="24"/>
          <w:szCs w:val="24"/>
          <w:lang w:eastAsia="en-GB"/>
        </w:rPr>
        <w:t xml:space="preserve"> </w:t>
      </w:r>
      <w:r w:rsidR="00343EA3" w:rsidRPr="001E3643">
        <w:rPr>
          <w:rFonts w:ascii="Arial" w:eastAsia="Times New Roman" w:hAnsi="Arial" w:cs="Arial"/>
          <w:noProof/>
          <w:sz w:val="24"/>
          <w:szCs w:val="24"/>
          <w:lang w:eastAsia="en-GB"/>
        </w:rPr>
        <w:t>(l)</w:t>
      </w:r>
      <w:r w:rsidR="005207F6">
        <w:rPr>
          <w:rFonts w:ascii="Arial" w:eastAsia="Times New Roman" w:hAnsi="Arial" w:cs="Arial"/>
          <w:noProof/>
          <w:sz w:val="24"/>
          <w:szCs w:val="24"/>
          <w:lang w:eastAsia="en-GB"/>
        </w:rPr>
        <w:t xml:space="preserve"> of the</w:t>
      </w:r>
      <w:r w:rsidR="009B56A6" w:rsidRPr="001E3643">
        <w:rPr>
          <w:rFonts w:ascii="Arial" w:eastAsia="Times New Roman" w:hAnsi="Arial" w:cs="Arial"/>
          <w:noProof/>
          <w:sz w:val="24"/>
          <w:szCs w:val="24"/>
          <w:lang w:eastAsia="en-GB"/>
        </w:rPr>
        <w:t xml:space="preserve"> </w:t>
      </w:r>
      <w:r w:rsidRPr="001E3643">
        <w:rPr>
          <w:rFonts w:ascii="Arial" w:eastAsia="Times New Roman" w:hAnsi="Arial" w:cs="Arial"/>
          <w:noProof/>
          <w:sz w:val="24"/>
          <w:szCs w:val="24"/>
          <w:lang w:eastAsia="en-GB"/>
        </w:rPr>
        <w:t>Regulation, rules implementing the Staff Regulations and the CEOS are adopted by the Management Board in accordance with Article 110 of the Staff Regulations.</w:t>
      </w:r>
    </w:p>
    <w:p w:rsidR="00592EE1" w:rsidRPr="001E3643" w:rsidRDefault="00592EE1" w:rsidP="009B56A6">
      <w:pPr>
        <w:numPr>
          <w:ilvl w:val="0"/>
          <w:numId w:val="1"/>
        </w:numPr>
        <w:spacing w:after="120" w:line="240" w:lineRule="auto"/>
        <w:ind w:left="567" w:hanging="567"/>
        <w:jc w:val="both"/>
        <w:rPr>
          <w:rFonts w:ascii="Arial" w:eastAsia="Times New Roman" w:hAnsi="Arial" w:cs="Arial"/>
          <w:noProof/>
          <w:sz w:val="24"/>
          <w:szCs w:val="24"/>
          <w:lang w:eastAsia="en-GB"/>
        </w:rPr>
      </w:pPr>
      <w:r w:rsidRPr="001E3643">
        <w:rPr>
          <w:rFonts w:ascii="Arial" w:eastAsia="Times New Roman" w:hAnsi="Arial" w:cs="Arial"/>
          <w:noProof/>
          <w:sz w:val="24"/>
          <w:szCs w:val="24"/>
          <w:lang w:eastAsia="en-GB"/>
        </w:rPr>
        <w:t xml:space="preserve">The Executive Director of </w:t>
      </w:r>
      <w:r w:rsidR="009B56A6" w:rsidRPr="001E3643">
        <w:rPr>
          <w:rFonts w:ascii="Arial" w:eastAsia="Times New Roman" w:hAnsi="Arial" w:cs="Arial"/>
          <w:noProof/>
          <w:sz w:val="24"/>
          <w:szCs w:val="24"/>
          <w:lang w:eastAsia="en-GB"/>
        </w:rPr>
        <w:t>the Authority</w:t>
      </w:r>
      <w:r w:rsidR="00117196" w:rsidRPr="001E3643">
        <w:rPr>
          <w:rFonts w:ascii="Arial" w:eastAsia="Times New Roman" w:hAnsi="Arial" w:cs="Arial"/>
          <w:noProof/>
          <w:sz w:val="24"/>
          <w:szCs w:val="24"/>
          <w:lang w:eastAsia="en-GB"/>
        </w:rPr>
        <w:t xml:space="preserve"> </w:t>
      </w:r>
      <w:r w:rsidRPr="001E3643">
        <w:rPr>
          <w:rFonts w:ascii="Arial" w:eastAsia="Times New Roman" w:hAnsi="Arial" w:cs="Arial"/>
          <w:noProof/>
          <w:sz w:val="24"/>
          <w:szCs w:val="24"/>
          <w:lang w:eastAsia="en-GB"/>
        </w:rPr>
        <w:t>is a temporary agent engaged under Article 2(a) of the CEOS, pursuant to Article 3</w:t>
      </w:r>
      <w:r w:rsidR="00117196" w:rsidRPr="001E3643">
        <w:rPr>
          <w:rFonts w:ascii="Arial" w:eastAsia="Times New Roman" w:hAnsi="Arial" w:cs="Arial"/>
          <w:noProof/>
          <w:sz w:val="24"/>
          <w:szCs w:val="24"/>
          <w:lang w:eastAsia="en-GB"/>
        </w:rPr>
        <w:t>1</w:t>
      </w:r>
      <w:r w:rsidR="00343EA3" w:rsidRPr="001E3643">
        <w:rPr>
          <w:rFonts w:ascii="Arial" w:eastAsia="Times New Roman" w:hAnsi="Arial" w:cs="Arial"/>
          <w:noProof/>
          <w:sz w:val="24"/>
          <w:szCs w:val="24"/>
          <w:lang w:eastAsia="en-GB"/>
        </w:rPr>
        <w:t>(1)</w:t>
      </w:r>
      <w:r w:rsidRPr="001E3643">
        <w:rPr>
          <w:rFonts w:ascii="Arial" w:eastAsia="Times New Roman" w:hAnsi="Arial" w:cs="Arial"/>
          <w:noProof/>
          <w:sz w:val="24"/>
          <w:szCs w:val="24"/>
          <w:lang w:eastAsia="en-GB"/>
        </w:rPr>
        <w:t xml:space="preserve"> of the Regulation.</w:t>
      </w:r>
    </w:p>
    <w:p w:rsidR="00592EE1" w:rsidRPr="001E3643" w:rsidRDefault="00592EE1" w:rsidP="009B56A6">
      <w:pPr>
        <w:numPr>
          <w:ilvl w:val="0"/>
          <w:numId w:val="1"/>
        </w:numPr>
        <w:spacing w:after="120" w:line="240" w:lineRule="auto"/>
        <w:ind w:left="567" w:hanging="567"/>
        <w:jc w:val="both"/>
        <w:rPr>
          <w:rFonts w:ascii="Arial" w:eastAsia="Times New Roman" w:hAnsi="Arial" w:cs="Arial"/>
          <w:noProof/>
          <w:sz w:val="24"/>
          <w:szCs w:val="24"/>
          <w:lang w:eastAsia="en-GB"/>
        </w:rPr>
      </w:pPr>
      <w:r w:rsidRPr="001E3643">
        <w:rPr>
          <w:rFonts w:ascii="Arial" w:eastAsia="Times New Roman" w:hAnsi="Arial" w:cs="Arial"/>
          <w:noProof/>
          <w:sz w:val="24"/>
          <w:szCs w:val="24"/>
          <w:lang w:eastAsia="en-GB"/>
        </w:rPr>
        <w:t xml:space="preserve">The Executive Director of </w:t>
      </w:r>
      <w:r w:rsidR="009B56A6" w:rsidRPr="001E3643">
        <w:rPr>
          <w:rFonts w:ascii="Arial" w:eastAsia="Times New Roman" w:hAnsi="Arial" w:cs="Arial"/>
          <w:noProof/>
          <w:sz w:val="24"/>
          <w:szCs w:val="24"/>
          <w:lang w:eastAsia="en-GB"/>
        </w:rPr>
        <w:t>the Authority</w:t>
      </w:r>
      <w:r w:rsidR="00117196" w:rsidRPr="001E3643">
        <w:rPr>
          <w:rFonts w:ascii="Arial" w:eastAsia="Times New Roman" w:hAnsi="Arial" w:cs="Arial"/>
          <w:noProof/>
          <w:sz w:val="24"/>
          <w:szCs w:val="24"/>
          <w:lang w:eastAsia="en-GB"/>
        </w:rPr>
        <w:t xml:space="preserve"> </w:t>
      </w:r>
      <w:r w:rsidRPr="001E3643">
        <w:rPr>
          <w:rFonts w:ascii="Arial" w:eastAsia="Times New Roman" w:hAnsi="Arial" w:cs="Arial"/>
          <w:noProof/>
          <w:sz w:val="24"/>
          <w:szCs w:val="24"/>
          <w:lang w:eastAsia="en-GB"/>
        </w:rPr>
        <w:t xml:space="preserve">should be subject to </w:t>
      </w:r>
      <w:r w:rsidR="00F97604" w:rsidRPr="001E3643">
        <w:rPr>
          <w:rFonts w:ascii="Arial" w:eastAsia="Times New Roman" w:hAnsi="Arial" w:cs="Arial"/>
          <w:noProof/>
          <w:sz w:val="24"/>
          <w:szCs w:val="24"/>
          <w:lang w:eastAsia="en-GB"/>
        </w:rPr>
        <w:t xml:space="preserve">an annual appraisal, </w:t>
      </w:r>
      <w:r w:rsidR="0066657C" w:rsidRPr="001E3643">
        <w:rPr>
          <w:rFonts w:ascii="Arial" w:eastAsia="Times New Roman" w:hAnsi="Arial" w:cs="Arial"/>
          <w:noProof/>
          <w:sz w:val="24"/>
          <w:szCs w:val="24"/>
          <w:lang w:eastAsia="en-GB"/>
        </w:rPr>
        <w:t xml:space="preserve">a </w:t>
      </w:r>
      <w:r w:rsidR="00404121" w:rsidRPr="001E3643">
        <w:rPr>
          <w:rFonts w:ascii="Arial" w:eastAsia="Times New Roman" w:hAnsi="Arial" w:cs="Arial"/>
          <w:noProof/>
          <w:sz w:val="24"/>
          <w:szCs w:val="24"/>
          <w:lang w:eastAsia="en-GB"/>
        </w:rPr>
        <w:t>p</w:t>
      </w:r>
      <w:r w:rsidRPr="001E3643">
        <w:rPr>
          <w:rFonts w:ascii="Arial" w:eastAsia="Times New Roman" w:hAnsi="Arial" w:cs="Arial"/>
          <w:noProof/>
          <w:sz w:val="24"/>
          <w:szCs w:val="24"/>
          <w:lang w:eastAsia="en-GB"/>
        </w:rPr>
        <w:t xml:space="preserve">robationary </w:t>
      </w:r>
      <w:r w:rsidR="00404121" w:rsidRPr="001E3643">
        <w:rPr>
          <w:rFonts w:ascii="Arial" w:eastAsia="Times New Roman" w:hAnsi="Arial" w:cs="Arial"/>
          <w:noProof/>
          <w:sz w:val="24"/>
          <w:szCs w:val="24"/>
          <w:lang w:eastAsia="en-GB"/>
        </w:rPr>
        <w:t>period and</w:t>
      </w:r>
      <w:r w:rsidR="0066657C" w:rsidRPr="001E3643">
        <w:rPr>
          <w:rFonts w:ascii="Arial" w:eastAsia="Times New Roman" w:hAnsi="Arial" w:cs="Arial"/>
          <w:noProof/>
          <w:sz w:val="24"/>
          <w:szCs w:val="24"/>
          <w:lang w:eastAsia="en-GB"/>
        </w:rPr>
        <w:t xml:space="preserve"> a</w:t>
      </w:r>
      <w:r w:rsidR="00404121" w:rsidRPr="001E3643">
        <w:rPr>
          <w:rFonts w:ascii="Arial" w:eastAsia="Times New Roman" w:hAnsi="Arial" w:cs="Arial"/>
          <w:noProof/>
          <w:sz w:val="24"/>
          <w:szCs w:val="24"/>
          <w:lang w:eastAsia="en-GB"/>
        </w:rPr>
        <w:t xml:space="preserve"> management trial </w:t>
      </w:r>
      <w:r w:rsidRPr="001E3643">
        <w:rPr>
          <w:rFonts w:ascii="Arial" w:eastAsia="Times New Roman" w:hAnsi="Arial" w:cs="Arial"/>
          <w:noProof/>
          <w:sz w:val="24"/>
          <w:szCs w:val="24"/>
          <w:lang w:eastAsia="en-GB"/>
        </w:rPr>
        <w:t>period. These procedures aim to assess the Executive Director with regard to his/her ability, efficiency and conduct in the service.</w:t>
      </w:r>
    </w:p>
    <w:p w:rsidR="00592EE1" w:rsidRPr="001E3643" w:rsidRDefault="001B74A3" w:rsidP="009B56A6">
      <w:pPr>
        <w:numPr>
          <w:ilvl w:val="0"/>
          <w:numId w:val="1"/>
        </w:numPr>
        <w:spacing w:after="120" w:line="240" w:lineRule="auto"/>
        <w:ind w:left="567" w:hanging="567"/>
        <w:jc w:val="both"/>
        <w:rPr>
          <w:rFonts w:ascii="Arial" w:eastAsia="Times New Roman" w:hAnsi="Arial" w:cs="Arial"/>
          <w:noProof/>
          <w:sz w:val="24"/>
          <w:szCs w:val="24"/>
          <w:lang w:eastAsia="en-GB"/>
        </w:rPr>
      </w:pPr>
      <w:r w:rsidRPr="001E3643">
        <w:rPr>
          <w:rFonts w:ascii="Arial" w:eastAsia="Times New Roman" w:hAnsi="Arial" w:cs="Arial"/>
          <w:noProof/>
          <w:sz w:val="24"/>
          <w:szCs w:val="24"/>
          <w:lang w:eastAsia="en-GB"/>
        </w:rPr>
        <w:lastRenderedPageBreak/>
        <w:t>It is necessary to lay down specific rules, which govern the various appraisals, to which the Executive Director should be subject, in order to determine the role of each actor and identify the various stages to be achieved in order to ensure the transparency of these procedures.</w:t>
      </w:r>
    </w:p>
    <w:p w:rsidR="00592EE1" w:rsidRPr="001E3643" w:rsidRDefault="00592EE1" w:rsidP="009B56A6">
      <w:pPr>
        <w:spacing w:before="240" w:after="160" w:line="288" w:lineRule="auto"/>
        <w:jc w:val="both"/>
        <w:rPr>
          <w:rFonts w:ascii="Arial" w:hAnsi="Arial" w:cs="Arial"/>
          <w:sz w:val="24"/>
          <w:szCs w:val="24"/>
        </w:rPr>
      </w:pPr>
      <w:r w:rsidRPr="001E3643">
        <w:rPr>
          <w:rFonts w:ascii="Arial" w:hAnsi="Arial" w:cs="Arial"/>
          <w:sz w:val="24"/>
          <w:szCs w:val="24"/>
        </w:rPr>
        <w:t>HAS DECIDED AS FOLLOWS:</w:t>
      </w:r>
    </w:p>
    <w:p w:rsidR="00592EE1" w:rsidRPr="001E3643" w:rsidRDefault="00592EE1" w:rsidP="00592EE1">
      <w:pPr>
        <w:pStyle w:val="ManualConsidrant"/>
        <w:ind w:left="284" w:firstLine="0"/>
        <w:rPr>
          <w:rFonts w:ascii="Arial" w:hAnsi="Arial" w:cs="Arial"/>
          <w:szCs w:val="24"/>
        </w:rPr>
      </w:pPr>
    </w:p>
    <w:p w:rsidR="00592EE1" w:rsidRPr="001E3643" w:rsidRDefault="00592EE1" w:rsidP="00592EE1">
      <w:pPr>
        <w:pStyle w:val="Titrearticle"/>
        <w:spacing w:before="0" w:after="0"/>
        <w:ind w:left="3827" w:firstLine="493"/>
        <w:jc w:val="left"/>
        <w:rPr>
          <w:rFonts w:ascii="Arial" w:hAnsi="Arial" w:cs="Arial"/>
          <w:b/>
          <w:i w:val="0"/>
          <w:szCs w:val="24"/>
        </w:rPr>
      </w:pPr>
      <w:r w:rsidRPr="001E3643">
        <w:rPr>
          <w:rFonts w:ascii="Arial" w:hAnsi="Arial" w:cs="Arial"/>
          <w:b/>
          <w:i w:val="0"/>
          <w:szCs w:val="24"/>
        </w:rPr>
        <w:t>TITLE I</w:t>
      </w:r>
    </w:p>
    <w:p w:rsidR="00592EE1" w:rsidRPr="001E3643" w:rsidRDefault="00592EE1" w:rsidP="00592EE1">
      <w:pPr>
        <w:pStyle w:val="Titrearticle"/>
        <w:spacing w:before="0" w:after="0"/>
        <w:ind w:left="3827"/>
        <w:jc w:val="left"/>
        <w:rPr>
          <w:rFonts w:ascii="Arial" w:hAnsi="Arial" w:cs="Arial"/>
          <w:b/>
          <w:i w:val="0"/>
          <w:szCs w:val="24"/>
        </w:rPr>
      </w:pPr>
      <w:r w:rsidRPr="001E3643">
        <w:rPr>
          <w:rFonts w:ascii="Arial" w:hAnsi="Arial" w:cs="Arial"/>
          <w:b/>
          <w:i w:val="0"/>
          <w:szCs w:val="24"/>
        </w:rPr>
        <w:t>Annual Appraisal</w:t>
      </w:r>
    </w:p>
    <w:p w:rsidR="00592EE1" w:rsidRPr="001E3643" w:rsidRDefault="00592EE1" w:rsidP="00592EE1">
      <w:pPr>
        <w:rPr>
          <w:rFonts w:ascii="Arial" w:hAnsi="Arial" w:cs="Arial"/>
          <w:sz w:val="24"/>
          <w:szCs w:val="24"/>
          <w:lang w:eastAsia="en-GB"/>
        </w:rPr>
      </w:pPr>
    </w:p>
    <w:p w:rsidR="00592EE1" w:rsidRPr="001E3643" w:rsidRDefault="005207F6" w:rsidP="009B56A6">
      <w:pPr>
        <w:suppressAutoHyphens/>
        <w:autoSpaceDE w:val="0"/>
        <w:autoSpaceDN w:val="0"/>
        <w:adjustRightInd w:val="0"/>
        <w:spacing w:before="120" w:after="120" w:line="240" w:lineRule="auto"/>
        <w:jc w:val="center"/>
        <w:rPr>
          <w:rFonts w:ascii="Arial" w:hAnsi="Arial" w:cs="Arial"/>
          <w:i/>
          <w:sz w:val="24"/>
          <w:szCs w:val="24"/>
        </w:rPr>
      </w:pPr>
      <w:r>
        <w:rPr>
          <w:rFonts w:ascii="Arial" w:hAnsi="Arial" w:cs="Arial"/>
          <w:i/>
          <w:sz w:val="24"/>
          <w:szCs w:val="24"/>
        </w:rPr>
        <w:t>Article 1</w:t>
      </w:r>
      <w:r>
        <w:rPr>
          <w:rFonts w:ascii="Arial" w:hAnsi="Arial" w:cs="Arial"/>
          <w:i/>
          <w:sz w:val="24"/>
          <w:szCs w:val="24"/>
        </w:rPr>
        <w:br/>
      </w:r>
      <w:r w:rsidR="00592EE1" w:rsidRPr="001E3643">
        <w:rPr>
          <w:rFonts w:ascii="Arial" w:hAnsi="Arial" w:cs="Arial"/>
          <w:i/>
          <w:sz w:val="24"/>
          <w:szCs w:val="24"/>
        </w:rPr>
        <w:t>Scope</w:t>
      </w:r>
    </w:p>
    <w:p w:rsidR="00592EE1" w:rsidRPr="001E3643" w:rsidRDefault="00592EE1" w:rsidP="009B56A6">
      <w:pPr>
        <w:pStyle w:val="ListParagraph"/>
        <w:numPr>
          <w:ilvl w:val="0"/>
          <w:numId w:val="9"/>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The Executive Director of </w:t>
      </w:r>
      <w:r w:rsidR="009B56A6" w:rsidRPr="001E3643">
        <w:rPr>
          <w:rFonts w:ascii="Arial" w:hAnsi="Arial" w:cs="Arial"/>
          <w:sz w:val="24"/>
          <w:szCs w:val="24"/>
          <w:lang w:eastAsia="en-GB"/>
        </w:rPr>
        <w:t>the Authority</w:t>
      </w:r>
      <w:r w:rsidR="00A06279" w:rsidRPr="001E3643">
        <w:rPr>
          <w:rFonts w:ascii="Arial" w:hAnsi="Arial" w:cs="Arial"/>
          <w:sz w:val="24"/>
          <w:szCs w:val="24"/>
        </w:rPr>
        <w:t xml:space="preserve"> </w:t>
      </w:r>
      <w:r w:rsidRPr="001E3643">
        <w:rPr>
          <w:rFonts w:ascii="Arial" w:hAnsi="Arial" w:cs="Arial"/>
          <w:sz w:val="24"/>
          <w:szCs w:val="24"/>
          <w:lang w:eastAsia="en-GB"/>
        </w:rPr>
        <w:t xml:space="preserve">is hereinafter referred to as ‘the jobholder’. </w:t>
      </w:r>
    </w:p>
    <w:p w:rsidR="00592EE1" w:rsidRPr="001E3643" w:rsidRDefault="00592EE1" w:rsidP="00592EE1">
      <w:pPr>
        <w:spacing w:after="0" w:line="240" w:lineRule="auto"/>
        <w:ind w:left="720" w:hanging="720"/>
        <w:jc w:val="both"/>
        <w:rPr>
          <w:rFonts w:ascii="Arial" w:eastAsia="Times New Roman" w:hAnsi="Arial" w:cs="Arial"/>
          <w:sz w:val="24"/>
          <w:szCs w:val="24"/>
          <w:lang w:eastAsia="en-GB"/>
        </w:rPr>
      </w:pPr>
    </w:p>
    <w:p w:rsidR="00592EE1" w:rsidRPr="001E3643" w:rsidRDefault="00592EE1" w:rsidP="009B56A6">
      <w:pPr>
        <w:pStyle w:val="ListParagraph"/>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Every year an appraisal report shall be drawn up for the jobholder, covering the reference period from 1 January to 31 December of the preceding year, provided that the jobholder was in active employment for a continuous period of at least one month during the reference period. </w:t>
      </w:r>
    </w:p>
    <w:p w:rsidR="00592EE1" w:rsidRPr="001E3643" w:rsidRDefault="00592EE1" w:rsidP="00592EE1">
      <w:pPr>
        <w:spacing w:after="0" w:line="240" w:lineRule="auto"/>
        <w:jc w:val="both"/>
        <w:rPr>
          <w:rFonts w:ascii="Arial" w:eastAsia="Calibri" w:hAnsi="Arial" w:cs="Arial"/>
          <w:sz w:val="24"/>
          <w:szCs w:val="24"/>
          <w:lang w:eastAsia="en-GB"/>
        </w:rPr>
      </w:pPr>
    </w:p>
    <w:p w:rsidR="00592EE1" w:rsidRPr="001E3643" w:rsidRDefault="00592EE1" w:rsidP="009B56A6">
      <w:pPr>
        <w:pStyle w:val="ListParagraph"/>
        <w:numPr>
          <w:ilvl w:val="0"/>
          <w:numId w:val="9"/>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The objective of the annual appraisal is to assess the ability, efficiency and conduct in the service of the jobhold</w:t>
      </w:r>
      <w:r w:rsidR="00D969E5" w:rsidRPr="001E3643">
        <w:rPr>
          <w:rFonts w:ascii="Arial" w:hAnsi="Arial" w:cs="Arial"/>
          <w:sz w:val="24"/>
          <w:szCs w:val="24"/>
          <w:lang w:eastAsia="en-GB"/>
        </w:rPr>
        <w:t>er</w:t>
      </w:r>
      <w:r w:rsidR="00D969E5" w:rsidRPr="001E3643">
        <w:rPr>
          <w:rFonts w:ascii="Arial" w:hAnsi="Arial" w:cs="Arial"/>
          <w:sz w:val="24"/>
          <w:szCs w:val="24"/>
          <w:vertAlign w:val="superscript"/>
        </w:rPr>
        <w:footnoteReference w:id="3"/>
      </w:r>
      <w:r w:rsidRPr="001E3643">
        <w:rPr>
          <w:rFonts w:ascii="Arial" w:hAnsi="Arial" w:cs="Arial"/>
          <w:sz w:val="24"/>
          <w:szCs w:val="24"/>
          <w:lang w:eastAsia="en-GB"/>
        </w:rPr>
        <w:t xml:space="preserve"> and whether the performance level of the jobholder has been satisfactory. </w:t>
      </w:r>
    </w:p>
    <w:p w:rsidR="00592EE1" w:rsidRPr="001E3643" w:rsidRDefault="00592EE1" w:rsidP="009B56A6">
      <w:pPr>
        <w:suppressAutoHyphens/>
        <w:autoSpaceDE w:val="0"/>
        <w:autoSpaceDN w:val="0"/>
        <w:adjustRightInd w:val="0"/>
        <w:spacing w:after="0" w:line="240" w:lineRule="auto"/>
        <w:jc w:val="both"/>
        <w:rPr>
          <w:rFonts w:ascii="Arial" w:hAnsi="Arial" w:cs="Arial"/>
          <w:sz w:val="24"/>
          <w:szCs w:val="24"/>
          <w:lang w:eastAsia="en-GB"/>
        </w:rPr>
      </w:pPr>
    </w:p>
    <w:p w:rsidR="00592EE1" w:rsidRPr="001E3643" w:rsidRDefault="00592EE1" w:rsidP="009B56A6">
      <w:pPr>
        <w:pStyle w:val="ListParagraph"/>
        <w:numPr>
          <w:ilvl w:val="0"/>
          <w:numId w:val="9"/>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For the first appraisal exercise after engagement, the annual appraisal report concerns the period which is not covered by the probationary period report referred to under Article 14 of the CEOS.</w:t>
      </w:r>
    </w:p>
    <w:p w:rsidR="00592EE1" w:rsidRPr="001E3643" w:rsidRDefault="00592EE1" w:rsidP="005135C8">
      <w:pPr>
        <w:suppressAutoHyphens/>
        <w:autoSpaceDE w:val="0"/>
        <w:autoSpaceDN w:val="0"/>
        <w:adjustRightInd w:val="0"/>
        <w:spacing w:before="120" w:after="120" w:line="240" w:lineRule="auto"/>
        <w:jc w:val="center"/>
        <w:rPr>
          <w:rFonts w:ascii="Arial" w:hAnsi="Arial" w:cs="Arial"/>
          <w:i/>
          <w:sz w:val="24"/>
          <w:szCs w:val="24"/>
        </w:rPr>
      </w:pPr>
    </w:p>
    <w:p w:rsidR="00592EE1" w:rsidRPr="001E3643" w:rsidRDefault="009B56A6" w:rsidP="009B56A6">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2</w:t>
      </w:r>
      <w:r w:rsidRPr="001E3643">
        <w:rPr>
          <w:rFonts w:ascii="Arial" w:hAnsi="Arial" w:cs="Arial"/>
          <w:i/>
          <w:sz w:val="24"/>
          <w:szCs w:val="24"/>
        </w:rPr>
        <w:br/>
      </w:r>
      <w:r w:rsidR="00592EE1" w:rsidRPr="001E3643">
        <w:rPr>
          <w:rFonts w:ascii="Arial" w:hAnsi="Arial" w:cs="Arial"/>
          <w:i/>
          <w:sz w:val="24"/>
          <w:szCs w:val="24"/>
        </w:rPr>
        <w:t>Role of the various actors</w:t>
      </w:r>
    </w:p>
    <w:p w:rsidR="009B56A6" w:rsidRPr="001E3643" w:rsidRDefault="001B74A3" w:rsidP="009B56A6">
      <w:pPr>
        <w:pStyle w:val="ListParagraph"/>
        <w:numPr>
          <w:ilvl w:val="0"/>
          <w:numId w:val="10"/>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The </w:t>
      </w:r>
      <w:r w:rsidR="00C54D11" w:rsidRPr="001E3643">
        <w:rPr>
          <w:rFonts w:ascii="Arial" w:hAnsi="Arial" w:cs="Arial"/>
          <w:sz w:val="24"/>
          <w:szCs w:val="24"/>
          <w:lang w:eastAsia="en-GB"/>
        </w:rPr>
        <w:t>appraisers,</w:t>
      </w:r>
      <w:r w:rsidRPr="001E3643">
        <w:rPr>
          <w:rFonts w:ascii="Arial" w:hAnsi="Arial" w:cs="Arial"/>
          <w:sz w:val="24"/>
          <w:szCs w:val="24"/>
          <w:lang w:eastAsia="en-GB"/>
        </w:rPr>
        <w:t xml:space="preserve"> hereinafter referred to as ‘reporting officers’</w:t>
      </w:r>
      <w:r w:rsidR="00C54D11" w:rsidRPr="001E3643">
        <w:rPr>
          <w:rFonts w:ascii="Arial" w:hAnsi="Arial" w:cs="Arial"/>
          <w:sz w:val="24"/>
          <w:szCs w:val="24"/>
          <w:lang w:eastAsia="en-GB"/>
        </w:rPr>
        <w:t xml:space="preserve">, </w:t>
      </w:r>
      <w:r w:rsidR="00592EE1" w:rsidRPr="001E3643">
        <w:rPr>
          <w:rFonts w:ascii="Arial" w:hAnsi="Arial" w:cs="Arial"/>
          <w:sz w:val="24"/>
          <w:szCs w:val="24"/>
          <w:lang w:eastAsia="en-GB"/>
        </w:rPr>
        <w:t>shall carry out an appraisal of the jobholder. After the dialogue held in accordance with Article 6(3), they shall draw up a report and sign it.</w:t>
      </w:r>
    </w:p>
    <w:p w:rsidR="009B56A6" w:rsidRPr="001E3643" w:rsidRDefault="009B56A6" w:rsidP="009B56A6">
      <w:pPr>
        <w:pStyle w:val="ListParagraph"/>
        <w:suppressAutoHyphens/>
        <w:autoSpaceDE w:val="0"/>
        <w:autoSpaceDN w:val="0"/>
        <w:adjustRightInd w:val="0"/>
        <w:spacing w:after="0" w:line="240" w:lineRule="auto"/>
        <w:jc w:val="both"/>
        <w:rPr>
          <w:rFonts w:ascii="Arial" w:hAnsi="Arial" w:cs="Arial"/>
          <w:sz w:val="24"/>
          <w:szCs w:val="24"/>
          <w:lang w:eastAsia="en-GB"/>
        </w:rPr>
      </w:pPr>
    </w:p>
    <w:p w:rsidR="00592EE1" w:rsidRPr="001E3643" w:rsidRDefault="00592EE1" w:rsidP="009B56A6">
      <w:pPr>
        <w:pStyle w:val="ListParagraph"/>
        <w:numPr>
          <w:ilvl w:val="0"/>
          <w:numId w:val="10"/>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eastAsia="Calibri" w:hAnsi="Arial" w:cs="Arial"/>
          <w:sz w:val="24"/>
          <w:szCs w:val="24"/>
          <w:lang w:eastAsia="en-GB"/>
        </w:rPr>
        <w:t>In case of appeal, the appeal assessor makes the final decision on the report of the jobholder after consultation of the Management Board</w:t>
      </w:r>
      <w:r w:rsidR="009B56A6" w:rsidRPr="001E3643">
        <w:rPr>
          <w:rFonts w:ascii="Arial" w:eastAsia="Calibri" w:hAnsi="Arial" w:cs="Arial"/>
          <w:sz w:val="24"/>
          <w:szCs w:val="24"/>
          <w:lang w:eastAsia="en-GB"/>
        </w:rPr>
        <w:t xml:space="preserve"> of the Authority</w:t>
      </w:r>
      <w:r w:rsidRPr="001E3643">
        <w:rPr>
          <w:rFonts w:ascii="Arial" w:eastAsia="Calibri" w:hAnsi="Arial" w:cs="Arial"/>
          <w:sz w:val="24"/>
          <w:szCs w:val="24"/>
          <w:lang w:eastAsia="en-GB"/>
        </w:rPr>
        <w:t xml:space="preserve">. </w:t>
      </w:r>
    </w:p>
    <w:p w:rsidR="00592EE1" w:rsidRPr="001E3643" w:rsidRDefault="00592EE1" w:rsidP="00592EE1">
      <w:pPr>
        <w:spacing w:after="0" w:line="240" w:lineRule="auto"/>
        <w:jc w:val="both"/>
        <w:rPr>
          <w:rFonts w:ascii="Arial" w:eastAsia="Calibri" w:hAnsi="Arial" w:cs="Arial"/>
          <w:sz w:val="24"/>
          <w:szCs w:val="24"/>
          <w:lang w:eastAsia="en-GB"/>
        </w:rPr>
      </w:pPr>
    </w:p>
    <w:p w:rsidR="00592EE1" w:rsidRPr="001E3643" w:rsidRDefault="009B56A6"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3</w:t>
      </w:r>
      <w:r w:rsidRPr="001E3643">
        <w:rPr>
          <w:rFonts w:ascii="Arial" w:hAnsi="Arial" w:cs="Arial"/>
          <w:i/>
          <w:sz w:val="24"/>
          <w:szCs w:val="24"/>
        </w:rPr>
        <w:br/>
      </w:r>
      <w:r w:rsidR="00592EE1" w:rsidRPr="001E3643">
        <w:rPr>
          <w:rFonts w:ascii="Arial" w:hAnsi="Arial" w:cs="Arial"/>
          <w:i/>
          <w:sz w:val="24"/>
          <w:szCs w:val="24"/>
        </w:rPr>
        <w:t>Designation of the reporting officers and the appeal assessor</w:t>
      </w:r>
    </w:p>
    <w:p w:rsidR="00592EE1" w:rsidRPr="001E3643" w:rsidRDefault="007A7086" w:rsidP="009B56A6">
      <w:pPr>
        <w:pStyle w:val="ListParagraph"/>
        <w:numPr>
          <w:ilvl w:val="0"/>
          <w:numId w:val="11"/>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The Managemen</w:t>
      </w:r>
      <w:r w:rsidR="005207F6">
        <w:rPr>
          <w:rFonts w:ascii="Arial" w:hAnsi="Arial" w:cs="Arial"/>
          <w:sz w:val="24"/>
          <w:szCs w:val="24"/>
          <w:lang w:eastAsia="en-GB"/>
        </w:rPr>
        <w:t>t Board shall designate at</w:t>
      </w:r>
      <w:r w:rsidRPr="001E3643">
        <w:rPr>
          <w:rFonts w:ascii="Arial" w:hAnsi="Arial" w:cs="Arial"/>
          <w:sz w:val="24"/>
          <w:szCs w:val="24"/>
          <w:lang w:eastAsia="en-GB"/>
        </w:rPr>
        <w:t xml:space="preserve"> three reporting officers from among its members, including one representative of the European Commission. Reporting officers </w:t>
      </w:r>
      <w:r w:rsidR="00592EE1" w:rsidRPr="001E3643">
        <w:rPr>
          <w:rFonts w:ascii="Arial" w:hAnsi="Arial" w:cs="Arial"/>
          <w:sz w:val="24"/>
          <w:szCs w:val="24"/>
          <w:lang w:eastAsia="en-GB"/>
        </w:rPr>
        <w:t>cannot be designated to any other functions wi</w:t>
      </w:r>
      <w:r w:rsidR="006A0E0C" w:rsidRPr="001E3643">
        <w:rPr>
          <w:rFonts w:ascii="Arial" w:hAnsi="Arial" w:cs="Arial"/>
          <w:sz w:val="24"/>
          <w:szCs w:val="24"/>
          <w:lang w:eastAsia="en-GB"/>
        </w:rPr>
        <w:t>thin the appraisal procedure of the</w:t>
      </w:r>
      <w:r w:rsidR="00D969E5" w:rsidRPr="001E3643">
        <w:rPr>
          <w:rFonts w:ascii="Arial" w:hAnsi="Arial" w:cs="Arial"/>
          <w:sz w:val="24"/>
          <w:szCs w:val="24"/>
          <w:lang w:eastAsia="en-GB"/>
        </w:rPr>
        <w:t xml:space="preserve"> </w:t>
      </w:r>
      <w:r w:rsidR="00592EE1" w:rsidRPr="001E3643">
        <w:rPr>
          <w:rFonts w:ascii="Arial" w:hAnsi="Arial" w:cs="Arial"/>
          <w:sz w:val="24"/>
          <w:szCs w:val="24"/>
          <w:lang w:eastAsia="en-GB"/>
        </w:rPr>
        <w:t>Executive Director</w:t>
      </w:r>
      <w:r w:rsidR="006A0E0C" w:rsidRPr="001E3643">
        <w:rPr>
          <w:rFonts w:ascii="Arial" w:hAnsi="Arial" w:cs="Arial"/>
          <w:sz w:val="24"/>
          <w:szCs w:val="24"/>
          <w:lang w:eastAsia="en-GB"/>
        </w:rPr>
        <w:t xml:space="preserve"> of the Authority</w:t>
      </w:r>
      <w:r w:rsidR="00592EE1" w:rsidRPr="001E3643">
        <w:rPr>
          <w:rFonts w:ascii="Arial" w:hAnsi="Arial" w:cs="Arial"/>
          <w:sz w:val="24"/>
          <w:szCs w:val="24"/>
          <w:lang w:eastAsia="en-GB"/>
        </w:rPr>
        <w:t xml:space="preserve">. </w:t>
      </w:r>
    </w:p>
    <w:p w:rsidR="00592EE1" w:rsidRPr="001E3643" w:rsidRDefault="00592EE1" w:rsidP="009B56A6">
      <w:pPr>
        <w:suppressAutoHyphens/>
        <w:autoSpaceDE w:val="0"/>
        <w:autoSpaceDN w:val="0"/>
        <w:adjustRightInd w:val="0"/>
        <w:spacing w:after="0" w:line="240" w:lineRule="auto"/>
        <w:ind w:left="360"/>
        <w:jc w:val="both"/>
        <w:rPr>
          <w:rFonts w:ascii="Arial" w:hAnsi="Arial" w:cs="Arial"/>
          <w:sz w:val="24"/>
          <w:szCs w:val="24"/>
          <w:lang w:eastAsia="en-GB"/>
        </w:rPr>
      </w:pPr>
    </w:p>
    <w:p w:rsidR="00592EE1" w:rsidRPr="001E3643" w:rsidRDefault="00592EE1" w:rsidP="009B56A6">
      <w:pPr>
        <w:pStyle w:val="ListParagraph"/>
        <w:numPr>
          <w:ilvl w:val="0"/>
          <w:numId w:val="11"/>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The appeal assessor shall be the Chair</w:t>
      </w:r>
      <w:r w:rsidR="00343EA3" w:rsidRPr="001E3643">
        <w:rPr>
          <w:rFonts w:ascii="Arial" w:hAnsi="Arial" w:cs="Arial"/>
          <w:sz w:val="24"/>
          <w:szCs w:val="24"/>
          <w:lang w:eastAsia="en-GB"/>
        </w:rPr>
        <w:t>person</w:t>
      </w:r>
      <w:r w:rsidRPr="001E3643">
        <w:rPr>
          <w:rFonts w:ascii="Arial" w:hAnsi="Arial" w:cs="Arial"/>
          <w:sz w:val="24"/>
          <w:szCs w:val="24"/>
          <w:lang w:eastAsia="en-GB"/>
        </w:rPr>
        <w:t xml:space="preserve"> of the Management Board.</w:t>
      </w:r>
    </w:p>
    <w:p w:rsidR="00592EE1" w:rsidRPr="001E3643" w:rsidRDefault="00592EE1" w:rsidP="006A0E0C">
      <w:pPr>
        <w:pStyle w:val="Titrearticle"/>
        <w:rPr>
          <w:rFonts w:ascii="Arial" w:hAnsi="Arial" w:cs="Arial"/>
          <w:szCs w:val="24"/>
        </w:rPr>
      </w:pPr>
      <w:r w:rsidRPr="001E3643">
        <w:rPr>
          <w:rFonts w:ascii="Arial" w:hAnsi="Arial" w:cs="Arial"/>
          <w:szCs w:val="24"/>
        </w:rPr>
        <w:lastRenderedPageBreak/>
        <w:t>Article 4</w:t>
      </w:r>
      <w:r w:rsidR="006A0E0C" w:rsidRPr="001E3643">
        <w:rPr>
          <w:rFonts w:ascii="Arial" w:hAnsi="Arial" w:cs="Arial"/>
          <w:szCs w:val="24"/>
        </w:rPr>
        <w:br/>
      </w:r>
      <w:r w:rsidRPr="001E3643">
        <w:rPr>
          <w:rFonts w:ascii="Arial" w:hAnsi="Arial" w:cs="Arial"/>
          <w:szCs w:val="24"/>
        </w:rPr>
        <w:t>Carryover</w:t>
      </w:r>
    </w:p>
    <w:p w:rsidR="00592EE1" w:rsidRPr="001E3643" w:rsidRDefault="00592EE1" w:rsidP="006A0E0C">
      <w:pPr>
        <w:pStyle w:val="ListParagraph"/>
        <w:numPr>
          <w:ilvl w:val="0"/>
          <w:numId w:val="12"/>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A carryover shall consist of drawing up a report whose content is identical to the preceding annual appraisal report. A carryover must be agreed between the jobholder and the </w:t>
      </w:r>
      <w:r w:rsidR="007A7086" w:rsidRPr="001E3643">
        <w:rPr>
          <w:rFonts w:ascii="Arial" w:hAnsi="Arial" w:cs="Arial"/>
          <w:sz w:val="24"/>
          <w:szCs w:val="24"/>
          <w:lang w:eastAsia="en-GB"/>
        </w:rPr>
        <w:t>reporting officers</w:t>
      </w:r>
      <w:r w:rsidRPr="001E3643">
        <w:rPr>
          <w:rFonts w:ascii="Arial" w:hAnsi="Arial" w:cs="Arial"/>
          <w:sz w:val="24"/>
          <w:szCs w:val="24"/>
          <w:lang w:eastAsia="en-GB"/>
        </w:rPr>
        <w:t>. In that case the procedure set out in Article 6 shall not apply, except for the dialogue specified in paragraph 3 which shall apply mutatis mutandis.</w:t>
      </w:r>
    </w:p>
    <w:p w:rsidR="00592EE1" w:rsidRPr="001E3643" w:rsidRDefault="00592EE1" w:rsidP="006A0E0C">
      <w:pPr>
        <w:pStyle w:val="ListParagraph"/>
        <w:suppressAutoHyphens/>
        <w:autoSpaceDE w:val="0"/>
        <w:autoSpaceDN w:val="0"/>
        <w:adjustRightInd w:val="0"/>
        <w:spacing w:after="0" w:line="240" w:lineRule="auto"/>
        <w:jc w:val="both"/>
        <w:rPr>
          <w:rFonts w:ascii="Arial" w:hAnsi="Arial" w:cs="Arial"/>
          <w:sz w:val="24"/>
          <w:szCs w:val="24"/>
          <w:lang w:eastAsia="en-GB"/>
        </w:rPr>
      </w:pPr>
    </w:p>
    <w:p w:rsidR="00592EE1" w:rsidRPr="001E3643" w:rsidRDefault="00592EE1" w:rsidP="006A0E0C">
      <w:pPr>
        <w:pStyle w:val="ListParagraph"/>
        <w:numPr>
          <w:ilvl w:val="0"/>
          <w:numId w:val="12"/>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The carryover shall be authorised if there has been no significant change in the efficiency, competencies and/or conduct in the service of the jobholder. An annual appraisal report may not be carried over more than once. </w:t>
      </w:r>
    </w:p>
    <w:p w:rsidR="00592EE1" w:rsidRPr="001E3643" w:rsidRDefault="00592EE1" w:rsidP="00592EE1">
      <w:pPr>
        <w:spacing w:after="0" w:line="240" w:lineRule="auto"/>
        <w:jc w:val="both"/>
        <w:rPr>
          <w:rFonts w:ascii="Arial" w:eastAsia="Times New Roman" w:hAnsi="Arial" w:cs="Arial"/>
          <w:sz w:val="24"/>
          <w:szCs w:val="24"/>
          <w:lang w:eastAsia="en-GB"/>
        </w:rPr>
      </w:pPr>
    </w:p>
    <w:p w:rsidR="00592EE1" w:rsidRPr="001E3643" w:rsidRDefault="006A0E0C" w:rsidP="006A0E0C">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5</w:t>
      </w:r>
      <w:r w:rsidRPr="001E3643">
        <w:rPr>
          <w:rFonts w:ascii="Arial" w:hAnsi="Arial" w:cs="Arial"/>
          <w:i/>
          <w:sz w:val="24"/>
          <w:szCs w:val="24"/>
        </w:rPr>
        <w:br/>
      </w:r>
      <w:r w:rsidR="00592EE1" w:rsidRPr="001E3643">
        <w:rPr>
          <w:rFonts w:ascii="Arial" w:hAnsi="Arial" w:cs="Arial"/>
          <w:i/>
          <w:sz w:val="24"/>
          <w:szCs w:val="24"/>
        </w:rPr>
        <w:t>Content and form of the annual appraisal report</w:t>
      </w:r>
    </w:p>
    <w:p w:rsidR="00592EE1" w:rsidRPr="001E3643" w:rsidRDefault="00592EE1" w:rsidP="006A0E0C">
      <w:pPr>
        <w:pStyle w:val="ListParagraph"/>
        <w:numPr>
          <w:ilvl w:val="0"/>
          <w:numId w:val="13"/>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The annual appraisal report shall appreciate simultaneously the ability, efficiency, and conduct in the service of the jobholder. That report shall state whether or not the performance level of the jobholder has been satisfactory.</w:t>
      </w:r>
    </w:p>
    <w:p w:rsidR="00592EE1" w:rsidRPr="001E3643" w:rsidRDefault="00592EE1" w:rsidP="006A0E0C">
      <w:pPr>
        <w:pStyle w:val="ListParagraph"/>
        <w:suppressAutoHyphens/>
        <w:autoSpaceDE w:val="0"/>
        <w:autoSpaceDN w:val="0"/>
        <w:adjustRightInd w:val="0"/>
        <w:spacing w:after="0" w:line="240" w:lineRule="auto"/>
        <w:jc w:val="both"/>
        <w:rPr>
          <w:rFonts w:ascii="Arial" w:hAnsi="Arial" w:cs="Arial"/>
          <w:sz w:val="24"/>
          <w:szCs w:val="24"/>
          <w:lang w:eastAsia="en-GB"/>
        </w:rPr>
      </w:pPr>
    </w:p>
    <w:p w:rsidR="00592EE1" w:rsidRPr="001E3643" w:rsidRDefault="00592EE1" w:rsidP="005135C8">
      <w:pPr>
        <w:pStyle w:val="ListParagraph"/>
        <w:numPr>
          <w:ilvl w:val="0"/>
          <w:numId w:val="12"/>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Without prejudice to Article 5(1), the content and the form of the annual appraisal report can, if necessary, be amended by</w:t>
      </w:r>
      <w:r w:rsidR="005207F6">
        <w:rPr>
          <w:rFonts w:ascii="Arial" w:hAnsi="Arial" w:cs="Arial"/>
          <w:sz w:val="24"/>
          <w:szCs w:val="24"/>
          <w:lang w:eastAsia="en-GB"/>
        </w:rPr>
        <w:t xml:space="preserve"> a</w:t>
      </w:r>
      <w:r w:rsidRPr="001E3643">
        <w:rPr>
          <w:rFonts w:ascii="Arial" w:hAnsi="Arial" w:cs="Arial"/>
          <w:sz w:val="24"/>
          <w:szCs w:val="24"/>
          <w:lang w:eastAsia="en-GB"/>
        </w:rPr>
        <w:t xml:space="preserve"> decision of the Management Board on a proposal from the </w:t>
      </w:r>
      <w:r w:rsidR="007A7086" w:rsidRPr="001E3643">
        <w:rPr>
          <w:rFonts w:ascii="Arial" w:hAnsi="Arial" w:cs="Arial"/>
          <w:sz w:val="24"/>
          <w:szCs w:val="24"/>
          <w:lang w:eastAsia="en-GB"/>
        </w:rPr>
        <w:t>reporting officers</w:t>
      </w:r>
      <w:r w:rsidRPr="001E3643">
        <w:rPr>
          <w:rFonts w:ascii="Arial" w:hAnsi="Arial" w:cs="Arial"/>
          <w:sz w:val="24"/>
          <w:szCs w:val="24"/>
          <w:lang w:eastAsia="en-GB"/>
        </w:rPr>
        <w:t>.</w:t>
      </w:r>
    </w:p>
    <w:p w:rsidR="00592EE1" w:rsidRPr="001E3643" w:rsidRDefault="00592EE1" w:rsidP="005135C8">
      <w:pPr>
        <w:pStyle w:val="ListParagraph"/>
        <w:suppressAutoHyphens/>
        <w:autoSpaceDE w:val="0"/>
        <w:autoSpaceDN w:val="0"/>
        <w:adjustRightInd w:val="0"/>
        <w:spacing w:after="0" w:line="240" w:lineRule="auto"/>
        <w:jc w:val="both"/>
        <w:rPr>
          <w:rFonts w:ascii="Arial" w:hAnsi="Arial" w:cs="Arial"/>
          <w:sz w:val="24"/>
          <w:szCs w:val="24"/>
          <w:lang w:eastAsia="en-GB"/>
        </w:rPr>
      </w:pPr>
    </w:p>
    <w:p w:rsidR="00592EE1" w:rsidRPr="001E3643" w:rsidRDefault="006A0E0C" w:rsidP="006A0E0C">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6</w:t>
      </w:r>
      <w:r w:rsidRPr="001E3643">
        <w:rPr>
          <w:rFonts w:ascii="Arial" w:hAnsi="Arial" w:cs="Arial"/>
          <w:i/>
          <w:sz w:val="24"/>
          <w:szCs w:val="24"/>
        </w:rPr>
        <w:br/>
      </w:r>
      <w:r w:rsidR="00592EE1" w:rsidRPr="001E3643">
        <w:rPr>
          <w:rFonts w:ascii="Arial" w:hAnsi="Arial" w:cs="Arial"/>
          <w:i/>
          <w:sz w:val="24"/>
          <w:szCs w:val="24"/>
        </w:rPr>
        <w:t>Annual appraisal procedure</w:t>
      </w:r>
    </w:p>
    <w:p w:rsidR="00592EE1" w:rsidRPr="001E3643" w:rsidRDefault="00592EE1" w:rsidP="006A0E0C">
      <w:pPr>
        <w:pStyle w:val="ListParagraph"/>
        <w:numPr>
          <w:ilvl w:val="0"/>
          <w:numId w:val="14"/>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The annual appraisal takes p</w:t>
      </w:r>
      <w:r w:rsidR="005207F6">
        <w:rPr>
          <w:rFonts w:ascii="Arial" w:hAnsi="Arial" w:cs="Arial"/>
          <w:sz w:val="24"/>
          <w:szCs w:val="24"/>
          <w:lang w:eastAsia="en-GB"/>
        </w:rPr>
        <w:t>lace, to the extent possible, at</w:t>
      </w:r>
      <w:r w:rsidRPr="001E3643">
        <w:rPr>
          <w:rFonts w:ascii="Arial" w:hAnsi="Arial" w:cs="Arial"/>
          <w:sz w:val="24"/>
          <w:szCs w:val="24"/>
          <w:lang w:eastAsia="en-GB"/>
        </w:rPr>
        <w:t xml:space="preserve"> the beginning of the year following the reference period. </w:t>
      </w:r>
    </w:p>
    <w:p w:rsidR="00592EE1" w:rsidRPr="001E3643" w:rsidRDefault="00592EE1" w:rsidP="006A0E0C">
      <w:pPr>
        <w:pStyle w:val="ListParagraph"/>
        <w:suppressAutoHyphens/>
        <w:autoSpaceDE w:val="0"/>
        <w:autoSpaceDN w:val="0"/>
        <w:adjustRightInd w:val="0"/>
        <w:spacing w:after="0" w:line="240" w:lineRule="auto"/>
        <w:jc w:val="both"/>
        <w:rPr>
          <w:rFonts w:ascii="Arial" w:hAnsi="Arial" w:cs="Arial"/>
          <w:sz w:val="24"/>
          <w:szCs w:val="24"/>
          <w:lang w:eastAsia="en-GB"/>
        </w:rPr>
      </w:pPr>
    </w:p>
    <w:p w:rsidR="00592EE1" w:rsidRPr="001E3643" w:rsidRDefault="00592EE1" w:rsidP="006A0E0C">
      <w:pPr>
        <w:pStyle w:val="ListParagraph"/>
        <w:numPr>
          <w:ilvl w:val="0"/>
          <w:numId w:val="14"/>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The jobholder establishes, within ten working days after the </w:t>
      </w:r>
      <w:r w:rsidR="007A7086" w:rsidRPr="001E3643">
        <w:rPr>
          <w:rFonts w:ascii="Arial" w:hAnsi="Arial" w:cs="Arial"/>
          <w:sz w:val="24"/>
          <w:szCs w:val="24"/>
          <w:lang w:eastAsia="en-GB"/>
        </w:rPr>
        <w:t>reporting officer</w:t>
      </w:r>
      <w:r w:rsidRPr="001E3643">
        <w:rPr>
          <w:rFonts w:ascii="Arial" w:hAnsi="Arial" w:cs="Arial"/>
          <w:sz w:val="24"/>
          <w:szCs w:val="24"/>
          <w:lang w:eastAsia="en-GB"/>
        </w:rPr>
        <w:t>'s request, a self-assessment</w:t>
      </w:r>
      <w:r w:rsidR="00D969E5" w:rsidRPr="001E3643">
        <w:rPr>
          <w:rFonts w:ascii="Arial" w:hAnsi="Arial" w:cs="Arial"/>
          <w:sz w:val="24"/>
          <w:szCs w:val="24"/>
          <w:lang w:eastAsia="en-GB"/>
        </w:rPr>
        <w:t>,</w:t>
      </w:r>
      <w:r w:rsidRPr="001E3643">
        <w:rPr>
          <w:rFonts w:ascii="Arial" w:hAnsi="Arial" w:cs="Arial"/>
          <w:sz w:val="24"/>
          <w:szCs w:val="24"/>
          <w:lang w:eastAsia="en-GB"/>
        </w:rPr>
        <w:t xml:space="preserve"> which is incorporated into the annual appraisal report.</w:t>
      </w:r>
    </w:p>
    <w:p w:rsidR="00592EE1" w:rsidRPr="001E3643" w:rsidRDefault="00592EE1" w:rsidP="006A0E0C">
      <w:pPr>
        <w:pStyle w:val="ListParagraph"/>
        <w:suppressAutoHyphens/>
        <w:autoSpaceDE w:val="0"/>
        <w:autoSpaceDN w:val="0"/>
        <w:adjustRightInd w:val="0"/>
        <w:spacing w:after="0" w:line="240" w:lineRule="auto"/>
        <w:jc w:val="both"/>
        <w:rPr>
          <w:rFonts w:ascii="Arial" w:hAnsi="Arial" w:cs="Arial"/>
          <w:sz w:val="24"/>
          <w:szCs w:val="24"/>
          <w:lang w:eastAsia="en-GB"/>
        </w:rPr>
      </w:pPr>
    </w:p>
    <w:p w:rsidR="006A0E0C" w:rsidRPr="001E3643" w:rsidRDefault="00592EE1" w:rsidP="00592EE1">
      <w:pPr>
        <w:pStyle w:val="ListParagraph"/>
        <w:numPr>
          <w:ilvl w:val="0"/>
          <w:numId w:val="14"/>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hAnsi="Arial" w:cs="Arial"/>
          <w:sz w:val="24"/>
          <w:szCs w:val="24"/>
          <w:lang w:eastAsia="en-GB"/>
        </w:rPr>
        <w:t xml:space="preserve">At the latest ten working days after the self-assessment is communicated by the jobholder, the </w:t>
      </w:r>
      <w:r w:rsidR="007A7086" w:rsidRPr="001E3643">
        <w:rPr>
          <w:rFonts w:ascii="Arial" w:hAnsi="Arial" w:cs="Arial"/>
          <w:sz w:val="24"/>
          <w:szCs w:val="24"/>
          <w:lang w:eastAsia="en-GB"/>
        </w:rPr>
        <w:t>reporting officers</w:t>
      </w:r>
      <w:r w:rsidRPr="001E3643">
        <w:rPr>
          <w:rFonts w:ascii="Arial" w:hAnsi="Arial" w:cs="Arial"/>
          <w:sz w:val="24"/>
          <w:szCs w:val="24"/>
          <w:lang w:eastAsia="en-GB"/>
        </w:rPr>
        <w:t xml:space="preserve"> and the jobholder hold a formal dialogue. If the jobholder refuses to finalise his/her self-assessment within the required time, the </w:t>
      </w:r>
      <w:r w:rsidR="007A7086" w:rsidRPr="001E3643">
        <w:rPr>
          <w:rFonts w:ascii="Arial" w:hAnsi="Arial" w:cs="Arial"/>
          <w:sz w:val="24"/>
          <w:szCs w:val="24"/>
          <w:lang w:eastAsia="en-GB"/>
        </w:rPr>
        <w:t>reporting officers</w:t>
      </w:r>
      <w:r w:rsidRPr="001E3643">
        <w:rPr>
          <w:rFonts w:ascii="Arial" w:hAnsi="Arial" w:cs="Arial"/>
          <w:sz w:val="24"/>
          <w:szCs w:val="24"/>
          <w:lang w:eastAsia="en-GB"/>
        </w:rPr>
        <w:t xml:space="preserve"> can decide to hold the dialogue when the deadline referred to in paragraph 2 has expired.</w:t>
      </w:r>
    </w:p>
    <w:p w:rsidR="006A0E0C" w:rsidRPr="001E3643" w:rsidRDefault="006A0E0C" w:rsidP="006A0E0C">
      <w:pPr>
        <w:pStyle w:val="ListParagraph"/>
        <w:rPr>
          <w:rFonts w:ascii="Arial" w:eastAsia="Calibri" w:hAnsi="Arial" w:cs="Arial"/>
          <w:sz w:val="24"/>
          <w:szCs w:val="24"/>
          <w:lang w:eastAsia="en-GB"/>
        </w:rPr>
      </w:pPr>
    </w:p>
    <w:p w:rsidR="006A0E0C" w:rsidRPr="001E3643" w:rsidRDefault="00592EE1" w:rsidP="006A0E0C">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The dialogue shall cover the following elements: </w:t>
      </w:r>
    </w:p>
    <w:p w:rsidR="006A0E0C" w:rsidRPr="001E3643" w:rsidRDefault="006A0E0C" w:rsidP="006A0E0C">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6A0E0C" w:rsidRPr="001E3643" w:rsidRDefault="00592EE1" w:rsidP="00592EE1">
      <w:pPr>
        <w:pStyle w:val="ListParagraph"/>
        <w:numPr>
          <w:ilvl w:val="2"/>
          <w:numId w:val="15"/>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eastAsia="Calibri" w:hAnsi="Arial" w:cs="Arial"/>
          <w:sz w:val="24"/>
          <w:szCs w:val="24"/>
          <w:lang w:eastAsia="en-GB"/>
        </w:rPr>
        <w:t xml:space="preserve">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examine the jobholder's efficiency based on</w:t>
      </w:r>
      <w:r w:rsidR="005207F6">
        <w:rPr>
          <w:rFonts w:ascii="Arial" w:eastAsia="Calibri" w:hAnsi="Arial" w:cs="Arial"/>
          <w:sz w:val="24"/>
          <w:szCs w:val="24"/>
          <w:lang w:eastAsia="en-GB"/>
        </w:rPr>
        <w:t xml:space="preserve"> the</w:t>
      </w:r>
      <w:r w:rsidRPr="001E3643">
        <w:rPr>
          <w:rFonts w:ascii="Arial" w:eastAsia="Calibri" w:hAnsi="Arial" w:cs="Arial"/>
          <w:sz w:val="24"/>
          <w:szCs w:val="24"/>
          <w:lang w:eastAsia="en-GB"/>
        </w:rPr>
        <w:t xml:space="preserve"> fulfilment of objectives and</w:t>
      </w:r>
      <w:r w:rsidR="005207F6">
        <w:rPr>
          <w:rFonts w:ascii="Arial" w:eastAsia="Calibri" w:hAnsi="Arial" w:cs="Arial"/>
          <w:sz w:val="24"/>
          <w:szCs w:val="24"/>
          <w:lang w:eastAsia="en-GB"/>
        </w:rPr>
        <w:t xml:space="preserve"> the</w:t>
      </w:r>
      <w:r w:rsidRPr="001E3643">
        <w:rPr>
          <w:rFonts w:ascii="Arial" w:eastAsia="Calibri" w:hAnsi="Arial" w:cs="Arial"/>
          <w:sz w:val="24"/>
          <w:szCs w:val="24"/>
          <w:lang w:eastAsia="en-GB"/>
        </w:rPr>
        <w:t xml:space="preserve"> carrying out of the implementation of </w:t>
      </w:r>
      <w:r w:rsidR="006A0E0C" w:rsidRPr="001E3643">
        <w:rPr>
          <w:rFonts w:ascii="Arial" w:eastAsia="Calibri" w:hAnsi="Arial" w:cs="Arial"/>
          <w:sz w:val="24"/>
          <w:szCs w:val="24"/>
          <w:lang w:eastAsia="en-GB"/>
        </w:rPr>
        <w:t>the Authority</w:t>
      </w:r>
      <w:r w:rsidR="00D969E5" w:rsidRPr="001E3643">
        <w:rPr>
          <w:rFonts w:ascii="Arial" w:eastAsia="Calibri" w:hAnsi="Arial" w:cs="Arial"/>
          <w:sz w:val="24"/>
          <w:szCs w:val="24"/>
          <w:lang w:eastAsia="en-GB"/>
        </w:rPr>
        <w:t xml:space="preserve"> </w:t>
      </w:r>
      <w:r w:rsidR="001E3643" w:rsidRPr="001E3643">
        <w:rPr>
          <w:rFonts w:ascii="Arial" w:eastAsia="Calibri" w:hAnsi="Arial" w:cs="Arial"/>
          <w:sz w:val="24"/>
          <w:szCs w:val="24"/>
          <w:lang w:eastAsia="en-GB"/>
        </w:rPr>
        <w:t>work programme</w:t>
      </w:r>
      <w:r w:rsidRPr="001E3643">
        <w:rPr>
          <w:rFonts w:ascii="Arial" w:eastAsia="Calibri" w:hAnsi="Arial" w:cs="Arial"/>
          <w:sz w:val="24"/>
          <w:szCs w:val="24"/>
          <w:lang w:eastAsia="en-GB"/>
        </w:rPr>
        <w:t xml:space="preserve">, demonstrated abilities and the conduct in the service of the jobholder for the reference period. </w:t>
      </w:r>
    </w:p>
    <w:p w:rsidR="006A0E0C" w:rsidRPr="001E3643" w:rsidRDefault="006A0E0C" w:rsidP="006A0E0C">
      <w:pPr>
        <w:pStyle w:val="ListParagraph"/>
        <w:suppressAutoHyphens/>
        <w:autoSpaceDE w:val="0"/>
        <w:autoSpaceDN w:val="0"/>
        <w:adjustRightInd w:val="0"/>
        <w:spacing w:after="0" w:line="240" w:lineRule="auto"/>
        <w:ind w:left="1080"/>
        <w:jc w:val="both"/>
        <w:rPr>
          <w:rFonts w:ascii="Arial" w:hAnsi="Arial" w:cs="Arial"/>
          <w:sz w:val="24"/>
          <w:szCs w:val="24"/>
          <w:lang w:eastAsia="en-GB"/>
        </w:rPr>
      </w:pPr>
    </w:p>
    <w:p w:rsidR="00592EE1" w:rsidRPr="001E3643" w:rsidRDefault="00592EE1" w:rsidP="00592EE1">
      <w:pPr>
        <w:pStyle w:val="ListParagraph"/>
        <w:numPr>
          <w:ilvl w:val="2"/>
          <w:numId w:val="15"/>
        </w:numPr>
        <w:suppressAutoHyphens/>
        <w:autoSpaceDE w:val="0"/>
        <w:autoSpaceDN w:val="0"/>
        <w:adjustRightInd w:val="0"/>
        <w:spacing w:after="0" w:line="240" w:lineRule="auto"/>
        <w:jc w:val="both"/>
        <w:rPr>
          <w:rFonts w:ascii="Arial" w:hAnsi="Arial" w:cs="Arial"/>
          <w:sz w:val="24"/>
          <w:szCs w:val="24"/>
          <w:lang w:eastAsia="en-GB"/>
        </w:rPr>
      </w:pPr>
      <w:r w:rsidRPr="001E3643">
        <w:rPr>
          <w:rFonts w:ascii="Arial" w:eastAsia="Calibri" w:hAnsi="Arial" w:cs="Arial"/>
          <w:sz w:val="24"/>
          <w:szCs w:val="24"/>
          <w:lang w:eastAsia="en-GB"/>
        </w:rPr>
        <w:t xml:space="preserve">the jobholder and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set the objectives for the following reference period and, if necessary, a training plan which takes into account the objectives linked to </w:t>
      </w:r>
      <w:r w:rsidR="006A0E0C" w:rsidRPr="001E3643">
        <w:rPr>
          <w:rFonts w:ascii="Arial" w:eastAsia="Calibri" w:hAnsi="Arial" w:cs="Arial"/>
          <w:sz w:val="24"/>
          <w:szCs w:val="24"/>
          <w:lang w:eastAsia="en-GB"/>
        </w:rPr>
        <w:t>the Authority</w:t>
      </w:r>
      <w:r w:rsidR="00D969E5" w:rsidRPr="001E3643">
        <w:rPr>
          <w:rFonts w:ascii="Arial" w:eastAsia="Calibri" w:hAnsi="Arial" w:cs="Arial"/>
          <w:sz w:val="24"/>
          <w:szCs w:val="24"/>
          <w:lang w:eastAsia="en-GB"/>
        </w:rPr>
        <w:t xml:space="preserve"> </w:t>
      </w:r>
      <w:r w:rsidR="001E3643" w:rsidRPr="001E3643">
        <w:rPr>
          <w:rFonts w:ascii="Arial" w:eastAsia="Calibri" w:hAnsi="Arial" w:cs="Arial"/>
          <w:sz w:val="24"/>
          <w:szCs w:val="24"/>
          <w:lang w:eastAsia="en-GB"/>
        </w:rPr>
        <w:t>work programme</w:t>
      </w:r>
      <w:r w:rsidRPr="001E3643">
        <w:rPr>
          <w:rFonts w:ascii="Arial" w:eastAsia="Calibri" w:hAnsi="Arial" w:cs="Arial"/>
          <w:sz w:val="24"/>
          <w:szCs w:val="24"/>
          <w:lang w:eastAsia="en-GB"/>
        </w:rPr>
        <w:t xml:space="preserve"> and the personal development goals. </w:t>
      </w:r>
    </w:p>
    <w:p w:rsidR="00592EE1" w:rsidRPr="001E3643" w:rsidRDefault="00592EE1" w:rsidP="00592EE1">
      <w:pPr>
        <w:spacing w:after="0" w:line="240" w:lineRule="auto"/>
        <w:jc w:val="both"/>
        <w:rPr>
          <w:rFonts w:ascii="Arial" w:eastAsia="Calibri" w:hAnsi="Arial" w:cs="Arial"/>
          <w:sz w:val="24"/>
          <w:szCs w:val="24"/>
          <w:lang w:eastAsia="en-GB"/>
        </w:rPr>
      </w:pPr>
    </w:p>
    <w:p w:rsidR="00592EE1" w:rsidRPr="001E3643" w:rsidRDefault="00592EE1" w:rsidP="006A0E0C">
      <w:pPr>
        <w:pStyle w:val="ListParagraph"/>
        <w:numPr>
          <w:ilvl w:val="0"/>
          <w:numId w:val="14"/>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At the latest ten working days after the formal dialogue,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shall </w:t>
      </w:r>
      <w:r w:rsidRPr="001E3643">
        <w:rPr>
          <w:rFonts w:ascii="Arial" w:eastAsia="Calibri" w:hAnsi="Arial" w:cs="Arial"/>
          <w:sz w:val="24"/>
          <w:szCs w:val="24"/>
          <w:lang w:eastAsia="en-GB"/>
        </w:rPr>
        <w:lastRenderedPageBreak/>
        <w:t>draw up an annual appraisal report. This report shall comprise a general appraisal</w:t>
      </w:r>
      <w:r w:rsidR="00D969E5" w:rsidRPr="001E3643">
        <w:rPr>
          <w:rFonts w:ascii="Arial" w:eastAsia="Calibri" w:hAnsi="Arial" w:cs="Arial"/>
          <w:sz w:val="24"/>
          <w:szCs w:val="24"/>
          <w:lang w:eastAsia="en-GB"/>
        </w:rPr>
        <w:t>,</w:t>
      </w:r>
      <w:r w:rsidRPr="001E3643">
        <w:rPr>
          <w:rFonts w:ascii="Arial" w:eastAsia="Calibri" w:hAnsi="Arial" w:cs="Arial"/>
          <w:sz w:val="24"/>
          <w:szCs w:val="24"/>
          <w:lang w:eastAsia="en-GB"/>
        </w:rPr>
        <w:t xml:space="preserve"> which takes into account the assessments given on the ability, efficiency and conduct in the service of the jobholder, in accordance with the criteria defined in the appraisal report, and it shall establish whether the performance level of the jobholder has been satisfactory. </w:t>
      </w:r>
    </w:p>
    <w:p w:rsidR="00592EE1" w:rsidRPr="001E3643" w:rsidRDefault="00592EE1" w:rsidP="00592EE1">
      <w:pPr>
        <w:spacing w:after="0" w:line="240" w:lineRule="auto"/>
        <w:jc w:val="both"/>
        <w:rPr>
          <w:rFonts w:ascii="Arial" w:eastAsia="Calibri" w:hAnsi="Arial" w:cs="Arial"/>
          <w:sz w:val="24"/>
          <w:szCs w:val="24"/>
          <w:lang w:eastAsia="en-GB"/>
        </w:rPr>
      </w:pPr>
    </w:p>
    <w:p w:rsidR="00592EE1" w:rsidRPr="001E3643" w:rsidRDefault="00592EE1" w:rsidP="006A0E0C">
      <w:pPr>
        <w:pStyle w:val="ListParagraph"/>
        <w:numPr>
          <w:ilvl w:val="0"/>
          <w:numId w:val="14"/>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report shall be notified in writing to the jobholder.</w:t>
      </w:r>
    </w:p>
    <w:p w:rsidR="00592EE1" w:rsidRPr="001E3643" w:rsidRDefault="00592EE1" w:rsidP="00592EE1">
      <w:pPr>
        <w:spacing w:after="0" w:line="240" w:lineRule="auto"/>
        <w:jc w:val="both"/>
        <w:rPr>
          <w:rFonts w:ascii="Arial" w:eastAsia="Calibri" w:hAnsi="Arial" w:cs="Arial"/>
          <w:sz w:val="24"/>
          <w:szCs w:val="24"/>
          <w:lang w:eastAsia="en-GB"/>
        </w:rPr>
      </w:pPr>
    </w:p>
    <w:p w:rsidR="00592EE1" w:rsidRPr="001E3643" w:rsidRDefault="00592EE1" w:rsidP="006A0E0C">
      <w:pPr>
        <w:pStyle w:val="ListParagraph"/>
        <w:numPr>
          <w:ilvl w:val="0"/>
          <w:numId w:val="14"/>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jobholder has five working days to accept the report without making any comments, accept it after adding comments in the appropriate section of the report, or refuse the report by justifying the reason for the refusal in the appropriate section. If the report is accepted by the jobholder, the report is closed. A report is deemed to be accepted in case of absence of reaction of the jobholder within the time foreseen.</w:t>
      </w:r>
    </w:p>
    <w:p w:rsidR="00592EE1" w:rsidRPr="001E3643" w:rsidRDefault="00592EE1" w:rsidP="006A0E0C">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6A0E0C">
      <w:pPr>
        <w:pStyle w:val="ListParagraph"/>
        <w:numPr>
          <w:ilvl w:val="0"/>
          <w:numId w:val="14"/>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closed report shall be tr</w:t>
      </w:r>
      <w:r w:rsidR="006A0E0C" w:rsidRPr="001E3643">
        <w:rPr>
          <w:rFonts w:ascii="Arial" w:eastAsia="Calibri" w:hAnsi="Arial" w:cs="Arial"/>
          <w:sz w:val="24"/>
          <w:szCs w:val="24"/>
          <w:lang w:eastAsia="en-GB"/>
        </w:rPr>
        <w:t>ansmitted to the chairperson of</w:t>
      </w:r>
      <w:r w:rsidR="001E3643" w:rsidRPr="001E3643">
        <w:rPr>
          <w:rFonts w:ascii="Arial" w:eastAsia="Calibri" w:hAnsi="Arial" w:cs="Arial"/>
          <w:sz w:val="24"/>
          <w:szCs w:val="24"/>
          <w:lang w:eastAsia="en-GB"/>
        </w:rPr>
        <w:t xml:space="preserve"> the</w:t>
      </w:r>
      <w:r w:rsidR="00D969E5" w:rsidRPr="001E3643">
        <w:rPr>
          <w:rFonts w:ascii="Arial" w:eastAsia="Calibri" w:hAnsi="Arial" w:cs="Arial"/>
          <w:sz w:val="24"/>
          <w:szCs w:val="24"/>
          <w:lang w:eastAsia="en-GB"/>
        </w:rPr>
        <w:t xml:space="preserve"> </w:t>
      </w:r>
      <w:r w:rsidRPr="001E3643">
        <w:rPr>
          <w:rFonts w:ascii="Arial" w:eastAsia="Calibri" w:hAnsi="Arial" w:cs="Arial"/>
          <w:sz w:val="24"/>
          <w:szCs w:val="24"/>
          <w:lang w:eastAsia="en-GB"/>
        </w:rPr>
        <w:t xml:space="preserve">Management Board for information. </w:t>
      </w:r>
    </w:p>
    <w:p w:rsidR="00592EE1" w:rsidRPr="001E3643" w:rsidRDefault="00592EE1" w:rsidP="005135C8">
      <w:pPr>
        <w:suppressAutoHyphens/>
        <w:autoSpaceDE w:val="0"/>
        <w:autoSpaceDN w:val="0"/>
        <w:adjustRightInd w:val="0"/>
        <w:spacing w:before="120" w:after="120" w:line="240" w:lineRule="auto"/>
        <w:jc w:val="center"/>
        <w:rPr>
          <w:rFonts w:ascii="Arial" w:hAnsi="Arial" w:cs="Arial"/>
          <w:i/>
          <w:sz w:val="24"/>
          <w:szCs w:val="24"/>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7</w:t>
      </w:r>
      <w:r w:rsidRPr="001E3643">
        <w:rPr>
          <w:rFonts w:ascii="Arial" w:hAnsi="Arial" w:cs="Arial"/>
          <w:i/>
          <w:sz w:val="24"/>
          <w:szCs w:val="24"/>
        </w:rPr>
        <w:br/>
      </w:r>
      <w:r w:rsidR="00592EE1" w:rsidRPr="001E3643">
        <w:rPr>
          <w:rFonts w:ascii="Arial" w:hAnsi="Arial" w:cs="Arial"/>
          <w:i/>
          <w:sz w:val="24"/>
          <w:szCs w:val="24"/>
        </w:rPr>
        <w:t>Appeal procedure</w:t>
      </w:r>
    </w:p>
    <w:p w:rsidR="00592EE1" w:rsidRPr="001E3643" w:rsidRDefault="00592EE1" w:rsidP="005135C8">
      <w:pPr>
        <w:pStyle w:val="ListParagraph"/>
        <w:numPr>
          <w:ilvl w:val="0"/>
          <w:numId w:val="16"/>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jobholder’s reasoned refusal to accept the report in accordance with Article 6(6) shall automatically mean referral of the matter to the appeal assessor. The jobholder may withdraw his/her reasoned refusal to accept the report at any time.</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numPr>
          <w:ilvl w:val="0"/>
          <w:numId w:val="16"/>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Upon the request by the jobholder expressed in his/her reasoned refusal to accept the report, which is transmitted to the appeal assessor, the latter shall give his/her opinion to the jobholder within five working days as from the date of the reasoned refusal. </w:t>
      </w:r>
    </w:p>
    <w:p w:rsidR="00592EE1" w:rsidRPr="001E3643" w:rsidRDefault="00592EE1" w:rsidP="005135C8">
      <w:pPr>
        <w:suppressAutoHyphens/>
        <w:autoSpaceDE w:val="0"/>
        <w:autoSpaceDN w:val="0"/>
        <w:adjustRightInd w:val="0"/>
        <w:spacing w:after="0" w:line="240" w:lineRule="auto"/>
        <w:ind w:left="360"/>
        <w:jc w:val="both"/>
        <w:rPr>
          <w:rFonts w:ascii="Arial" w:eastAsia="Calibri" w:hAnsi="Arial" w:cs="Arial"/>
          <w:sz w:val="24"/>
          <w:szCs w:val="24"/>
          <w:lang w:eastAsia="en-GB"/>
        </w:rPr>
      </w:pPr>
    </w:p>
    <w:p w:rsidR="00592EE1" w:rsidRPr="001E3643" w:rsidRDefault="00592EE1" w:rsidP="005135C8">
      <w:pPr>
        <w:pStyle w:val="ListParagraph"/>
        <w:numPr>
          <w:ilvl w:val="0"/>
          <w:numId w:val="16"/>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After consultation with the Management Board, the appeal assessor shall confirm or amend the report. When the appeal assessor departs from the opinion of the Management Board, he/she shall justify his/her decision. The </w:t>
      </w:r>
      <w:r w:rsidR="007A7086" w:rsidRPr="001E3643">
        <w:rPr>
          <w:rFonts w:ascii="Arial" w:eastAsia="Calibri" w:hAnsi="Arial" w:cs="Arial"/>
          <w:sz w:val="24"/>
          <w:szCs w:val="24"/>
          <w:lang w:eastAsia="en-GB"/>
        </w:rPr>
        <w:t>reporting officer</w:t>
      </w:r>
      <w:r w:rsidRPr="001E3643">
        <w:rPr>
          <w:rFonts w:ascii="Arial" w:eastAsia="Calibri" w:hAnsi="Arial" w:cs="Arial"/>
          <w:sz w:val="24"/>
          <w:szCs w:val="24"/>
          <w:lang w:eastAsia="en-GB"/>
        </w:rPr>
        <w:t xml:space="preserve"> shall be excluded from these consultations.</w:t>
      </w:r>
    </w:p>
    <w:p w:rsidR="00592EE1" w:rsidRPr="001E3643" w:rsidRDefault="00592EE1" w:rsidP="005135C8">
      <w:pPr>
        <w:suppressAutoHyphens/>
        <w:autoSpaceDE w:val="0"/>
        <w:autoSpaceDN w:val="0"/>
        <w:adjustRightInd w:val="0"/>
        <w:spacing w:after="0" w:line="240" w:lineRule="auto"/>
        <w:ind w:left="360"/>
        <w:jc w:val="both"/>
        <w:rPr>
          <w:rFonts w:ascii="Arial" w:eastAsia="Calibri" w:hAnsi="Arial" w:cs="Arial"/>
          <w:sz w:val="24"/>
          <w:szCs w:val="24"/>
          <w:lang w:eastAsia="en-GB"/>
        </w:rPr>
      </w:pPr>
    </w:p>
    <w:p w:rsidR="00592EE1" w:rsidRPr="001E3643" w:rsidRDefault="00592EE1" w:rsidP="005135C8">
      <w:pPr>
        <w:pStyle w:val="ListParagraph"/>
        <w:numPr>
          <w:ilvl w:val="0"/>
          <w:numId w:val="16"/>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The report is then closed and communicated to the jobholder and to the Management Board. </w:t>
      </w:r>
    </w:p>
    <w:p w:rsidR="00592EE1" w:rsidRPr="001E3643" w:rsidRDefault="00592EE1" w:rsidP="00592EE1">
      <w:pPr>
        <w:spacing w:after="0" w:line="240" w:lineRule="auto"/>
        <w:jc w:val="both"/>
        <w:rPr>
          <w:rFonts w:ascii="Arial" w:eastAsia="Times New Roman" w:hAnsi="Arial" w:cs="Arial"/>
          <w:sz w:val="24"/>
          <w:szCs w:val="24"/>
          <w:lang w:eastAsia="en-GB"/>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8</w:t>
      </w:r>
      <w:r w:rsidRPr="001E3643">
        <w:rPr>
          <w:rFonts w:ascii="Arial" w:hAnsi="Arial" w:cs="Arial"/>
          <w:i/>
          <w:sz w:val="24"/>
          <w:szCs w:val="24"/>
        </w:rPr>
        <w:br/>
      </w:r>
      <w:r w:rsidR="00592EE1" w:rsidRPr="001E3643">
        <w:rPr>
          <w:rFonts w:ascii="Arial" w:hAnsi="Arial" w:cs="Arial"/>
          <w:i/>
          <w:sz w:val="24"/>
          <w:szCs w:val="24"/>
        </w:rPr>
        <w:t>Time limits</w:t>
      </w:r>
    </w:p>
    <w:p w:rsidR="00592EE1" w:rsidRPr="001E3643" w:rsidRDefault="00592EE1" w:rsidP="005135C8">
      <w:pPr>
        <w:pStyle w:val="ListParagraph"/>
        <w:numPr>
          <w:ilvl w:val="0"/>
          <w:numId w:val="17"/>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time limits referred to in Articles 6 and 7 as they concern the jobholder shall be calculated only from the time when the relevant decision has been notified to the person concerned or, at the latest, when the latter, acting as a diligent agent, may be expected to be aware of the content of that decision and the reasons for it.</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numPr>
          <w:ilvl w:val="0"/>
          <w:numId w:val="17"/>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These time limits shall be suspended, however, if and for as long as the jobholder is unable to access the decision concerned.</w:t>
      </w:r>
    </w:p>
    <w:p w:rsidR="00592EE1" w:rsidRPr="001E3643" w:rsidRDefault="00592EE1" w:rsidP="00592EE1">
      <w:pPr>
        <w:pStyle w:val="Formuledadoption"/>
        <w:rPr>
          <w:rFonts w:ascii="Arial" w:hAnsi="Arial" w:cs="Arial"/>
          <w:szCs w:val="24"/>
          <w:lang w:val="en-US"/>
        </w:rPr>
      </w:pPr>
    </w:p>
    <w:p w:rsidR="00592EE1" w:rsidRPr="001E3643" w:rsidRDefault="00592EE1" w:rsidP="00EC737F">
      <w:pPr>
        <w:pStyle w:val="Titrearticle"/>
        <w:spacing w:before="0" w:after="0"/>
        <w:rPr>
          <w:rFonts w:ascii="Arial" w:hAnsi="Arial" w:cs="Arial"/>
          <w:b/>
          <w:i w:val="0"/>
          <w:szCs w:val="24"/>
        </w:rPr>
      </w:pPr>
      <w:r w:rsidRPr="001E3643">
        <w:rPr>
          <w:rFonts w:ascii="Arial" w:hAnsi="Arial" w:cs="Arial"/>
          <w:b/>
          <w:i w:val="0"/>
          <w:szCs w:val="24"/>
        </w:rPr>
        <w:t>TITLE II</w:t>
      </w:r>
    </w:p>
    <w:p w:rsidR="00592EE1" w:rsidRPr="001E3643" w:rsidRDefault="00592EE1" w:rsidP="00EC737F">
      <w:pPr>
        <w:pStyle w:val="Titrearticle"/>
        <w:spacing w:before="0" w:after="0"/>
        <w:rPr>
          <w:rFonts w:ascii="Arial" w:hAnsi="Arial" w:cs="Arial"/>
          <w:b/>
          <w:i w:val="0"/>
          <w:szCs w:val="24"/>
        </w:rPr>
      </w:pPr>
      <w:r w:rsidRPr="001E3643">
        <w:rPr>
          <w:rFonts w:ascii="Arial" w:hAnsi="Arial" w:cs="Arial"/>
          <w:b/>
          <w:i w:val="0"/>
          <w:szCs w:val="24"/>
        </w:rPr>
        <w:t>Probationary period and management trial period</w:t>
      </w:r>
    </w:p>
    <w:p w:rsidR="00592EE1" w:rsidRPr="001E3643" w:rsidRDefault="00592EE1" w:rsidP="00592EE1">
      <w:pPr>
        <w:rPr>
          <w:rFonts w:ascii="Arial" w:hAnsi="Arial" w:cs="Arial"/>
          <w:sz w:val="24"/>
          <w:szCs w:val="24"/>
          <w:lang w:eastAsia="en-GB"/>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9</w:t>
      </w:r>
      <w:r w:rsidRPr="001E3643">
        <w:rPr>
          <w:rFonts w:ascii="Arial" w:hAnsi="Arial" w:cs="Arial"/>
          <w:i/>
          <w:sz w:val="24"/>
          <w:szCs w:val="24"/>
        </w:rPr>
        <w:br/>
      </w:r>
      <w:r w:rsidR="00592EE1" w:rsidRPr="001E3643">
        <w:rPr>
          <w:rFonts w:ascii="Arial" w:hAnsi="Arial" w:cs="Arial"/>
          <w:i/>
          <w:sz w:val="24"/>
          <w:szCs w:val="24"/>
        </w:rPr>
        <w:t>Scope of the probationary period and the management trial period</w:t>
      </w:r>
    </w:p>
    <w:p w:rsidR="00592EE1" w:rsidRPr="001E3643" w:rsidRDefault="005135C8" w:rsidP="005135C8">
      <w:pPr>
        <w:pStyle w:val="ListParagraph"/>
        <w:numPr>
          <w:ilvl w:val="0"/>
          <w:numId w:val="18"/>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A newly engaged</w:t>
      </w:r>
      <w:r w:rsidR="00D969E5" w:rsidRPr="001E3643">
        <w:rPr>
          <w:rFonts w:ascii="Arial" w:eastAsia="Calibri" w:hAnsi="Arial" w:cs="Arial"/>
          <w:sz w:val="24"/>
          <w:szCs w:val="24"/>
          <w:lang w:eastAsia="en-GB"/>
        </w:rPr>
        <w:t xml:space="preserve"> </w:t>
      </w:r>
      <w:r w:rsidR="00592EE1" w:rsidRPr="001E3643">
        <w:rPr>
          <w:rFonts w:ascii="Arial" w:eastAsia="Calibri" w:hAnsi="Arial" w:cs="Arial"/>
          <w:sz w:val="24"/>
          <w:szCs w:val="24"/>
          <w:lang w:eastAsia="en-GB"/>
        </w:rPr>
        <w:t>Executive Director</w:t>
      </w:r>
      <w:r w:rsidRPr="001E3643">
        <w:rPr>
          <w:rFonts w:ascii="Arial" w:eastAsia="Calibri" w:hAnsi="Arial" w:cs="Arial"/>
          <w:sz w:val="24"/>
          <w:szCs w:val="24"/>
          <w:lang w:eastAsia="en-GB"/>
        </w:rPr>
        <w:t xml:space="preserve"> </w:t>
      </w:r>
      <w:r w:rsidR="00592EE1" w:rsidRPr="001E3643">
        <w:rPr>
          <w:rFonts w:ascii="Arial" w:eastAsia="Calibri" w:hAnsi="Arial" w:cs="Arial"/>
          <w:sz w:val="24"/>
          <w:szCs w:val="24"/>
          <w:lang w:eastAsia="en-GB"/>
        </w:rPr>
        <w:t xml:space="preserve">shall be subject to a probationary period, in accordance with Article 14 of the CEOS. </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135C8" w:rsidP="005135C8">
      <w:pPr>
        <w:pStyle w:val="ListParagraph"/>
        <w:numPr>
          <w:ilvl w:val="0"/>
          <w:numId w:val="18"/>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The </w:t>
      </w:r>
      <w:r w:rsidR="00592EE1" w:rsidRPr="001E3643">
        <w:rPr>
          <w:rFonts w:ascii="Arial" w:eastAsia="Calibri" w:hAnsi="Arial" w:cs="Arial"/>
          <w:sz w:val="24"/>
          <w:szCs w:val="24"/>
          <w:lang w:eastAsia="en-GB"/>
        </w:rPr>
        <w:t>Executive Director</w:t>
      </w:r>
      <w:r w:rsidRPr="001E3643">
        <w:rPr>
          <w:rFonts w:ascii="Arial" w:eastAsia="Calibri" w:hAnsi="Arial" w:cs="Arial"/>
          <w:sz w:val="24"/>
          <w:szCs w:val="24"/>
          <w:lang w:eastAsia="en-GB"/>
        </w:rPr>
        <w:t xml:space="preserve"> of the Authority</w:t>
      </w:r>
      <w:r w:rsidR="00592EE1" w:rsidRPr="001E3643">
        <w:rPr>
          <w:rFonts w:ascii="Arial" w:eastAsia="Calibri" w:hAnsi="Arial" w:cs="Arial"/>
          <w:sz w:val="24"/>
          <w:szCs w:val="24"/>
          <w:lang w:eastAsia="en-GB"/>
        </w:rPr>
        <w:t xml:space="preserve"> concerned is hereinafter referred to as “the probationer”. </w:t>
      </w:r>
    </w:p>
    <w:p w:rsidR="00592EE1" w:rsidRPr="001E3643" w:rsidRDefault="00592EE1" w:rsidP="005135C8">
      <w:pPr>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numPr>
          <w:ilvl w:val="0"/>
          <w:numId w:val="18"/>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The probationer shall serve a nine-month probationary period. When, during the probationary period, the probationer is prevented, by sickness, maternity leave or accident, from performing his/her duties for a continuous period of at least one month,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may propose to the authority authorised to conclude contracts of employment (AACC)</w:t>
      </w:r>
      <w:r w:rsidRPr="001E3643">
        <w:rPr>
          <w:rFonts w:eastAsia="Calibri"/>
          <w:sz w:val="24"/>
          <w:szCs w:val="24"/>
          <w:vertAlign w:val="superscript"/>
        </w:rPr>
        <w:footnoteReference w:id="4"/>
      </w:r>
      <w:r w:rsidRPr="001E3643">
        <w:rPr>
          <w:rFonts w:ascii="Arial" w:eastAsia="Calibri" w:hAnsi="Arial" w:cs="Arial"/>
          <w:sz w:val="24"/>
          <w:szCs w:val="24"/>
          <w:lang w:eastAsia="en-GB"/>
        </w:rPr>
        <w:t xml:space="preserve"> to extend his/her probationary period for the corresponding length of time. The total length of the probationary period shall in no circumstances exceed 15 months.</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numPr>
          <w:ilvl w:val="0"/>
          <w:numId w:val="18"/>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Subject to Article 9(3), a newly engaged Executive Director shall serve a management trial period of nine months, unless he/she has already successfully passed such a trial period in a previous function in any other European institution or body.</w:t>
      </w:r>
    </w:p>
    <w:p w:rsidR="00592EE1" w:rsidRPr="001E3643" w:rsidRDefault="00592EE1" w:rsidP="00592EE1">
      <w:pPr>
        <w:spacing w:after="0" w:line="240" w:lineRule="auto"/>
        <w:jc w:val="both"/>
        <w:rPr>
          <w:rFonts w:ascii="Arial" w:eastAsia="Calibri" w:hAnsi="Arial" w:cs="Arial"/>
          <w:sz w:val="24"/>
          <w:szCs w:val="24"/>
          <w:lang w:eastAsia="en-GB"/>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10</w:t>
      </w:r>
      <w:r w:rsidRPr="001E3643">
        <w:rPr>
          <w:rFonts w:ascii="Arial" w:hAnsi="Arial" w:cs="Arial"/>
          <w:i/>
          <w:sz w:val="24"/>
          <w:szCs w:val="24"/>
        </w:rPr>
        <w:br/>
      </w:r>
      <w:r w:rsidR="00592EE1" w:rsidRPr="001E3643">
        <w:rPr>
          <w:rFonts w:ascii="Arial" w:hAnsi="Arial" w:cs="Arial"/>
          <w:i/>
          <w:sz w:val="24"/>
          <w:szCs w:val="24"/>
        </w:rPr>
        <w:t>Role and designation of the various actors</w:t>
      </w:r>
    </w:p>
    <w:p w:rsidR="00592EE1" w:rsidRPr="001E3643" w:rsidRDefault="005135C8"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A</w:t>
      </w:r>
      <w:r w:rsidR="00592EE1" w:rsidRPr="001E3643">
        <w:rPr>
          <w:rFonts w:ascii="Arial" w:eastAsia="Calibri" w:hAnsi="Arial" w:cs="Arial"/>
          <w:sz w:val="24"/>
          <w:szCs w:val="24"/>
          <w:lang w:eastAsia="en-GB"/>
        </w:rPr>
        <w:t>rticle</w:t>
      </w:r>
      <w:r w:rsidR="007A7086" w:rsidRPr="001E3643">
        <w:rPr>
          <w:rFonts w:ascii="Arial" w:eastAsia="Calibri" w:hAnsi="Arial" w:cs="Arial"/>
          <w:sz w:val="24"/>
          <w:szCs w:val="24"/>
          <w:lang w:eastAsia="en-GB"/>
        </w:rPr>
        <w:t>s</w:t>
      </w:r>
      <w:r w:rsidR="00592EE1" w:rsidRPr="001E3643">
        <w:rPr>
          <w:rFonts w:ascii="Arial" w:eastAsia="Calibri" w:hAnsi="Arial" w:cs="Arial"/>
          <w:sz w:val="24"/>
          <w:szCs w:val="24"/>
          <w:lang w:eastAsia="en-GB"/>
        </w:rPr>
        <w:t xml:space="preserve"> 2 and 3 shall apply </w:t>
      </w:r>
      <w:r w:rsidR="00592EE1" w:rsidRPr="001E3643">
        <w:rPr>
          <w:rFonts w:ascii="Arial" w:eastAsia="Calibri" w:hAnsi="Arial" w:cs="Arial"/>
          <w:i/>
          <w:sz w:val="24"/>
          <w:szCs w:val="24"/>
          <w:lang w:eastAsia="en-GB"/>
        </w:rPr>
        <w:t>mutatis mutandis</w:t>
      </w:r>
      <w:r w:rsidR="00592EE1" w:rsidRPr="001E3643">
        <w:rPr>
          <w:rFonts w:ascii="Arial" w:eastAsia="Calibri" w:hAnsi="Arial" w:cs="Arial"/>
          <w:sz w:val="24"/>
          <w:szCs w:val="24"/>
          <w:lang w:eastAsia="en-GB"/>
        </w:rPr>
        <w:t xml:space="preserve">. </w:t>
      </w:r>
    </w:p>
    <w:p w:rsidR="00592EE1" w:rsidRPr="001E3643" w:rsidRDefault="00592EE1" w:rsidP="00592EE1">
      <w:pPr>
        <w:keepNext/>
        <w:suppressAutoHyphens/>
        <w:autoSpaceDE w:val="0"/>
        <w:autoSpaceDN w:val="0"/>
        <w:adjustRightInd w:val="0"/>
        <w:spacing w:after="0" w:line="240" w:lineRule="auto"/>
        <w:jc w:val="both"/>
        <w:rPr>
          <w:rFonts w:ascii="Arial" w:hAnsi="Arial" w:cs="Arial"/>
          <w:sz w:val="24"/>
          <w:szCs w:val="24"/>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11</w:t>
      </w:r>
      <w:r w:rsidRPr="001E3643">
        <w:rPr>
          <w:rFonts w:ascii="Arial" w:hAnsi="Arial" w:cs="Arial"/>
          <w:i/>
          <w:sz w:val="24"/>
          <w:szCs w:val="24"/>
        </w:rPr>
        <w:br/>
      </w:r>
      <w:r w:rsidR="00592EE1" w:rsidRPr="001E3643">
        <w:rPr>
          <w:rFonts w:ascii="Arial" w:hAnsi="Arial" w:cs="Arial"/>
          <w:i/>
          <w:sz w:val="24"/>
          <w:szCs w:val="24"/>
        </w:rPr>
        <w:t>Content and form of the probationary report</w:t>
      </w:r>
    </w:p>
    <w:p w:rsidR="00592EE1" w:rsidRPr="001E3643" w:rsidRDefault="00592EE1" w:rsidP="005135C8">
      <w:pPr>
        <w:pStyle w:val="ListParagraph"/>
        <w:numPr>
          <w:ilvl w:val="0"/>
          <w:numId w:val="19"/>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probationary report aims to appreciate simultaneously the ability, efficiency and the conduct in the service of the probationer within the probationary period. It should also include the assessment of the management skills, unless the management trial period has already been successfully passed as indicated in Article 9(4).</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numPr>
          <w:ilvl w:val="0"/>
          <w:numId w:val="19"/>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Subject to Article 11(1), the content and form of the probationary report can, if necessary, be amended by decision of the Management Board on a proposal from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w:t>
      </w:r>
    </w:p>
    <w:p w:rsidR="005135C8"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12</w:t>
      </w:r>
      <w:r w:rsidRPr="001E3643">
        <w:rPr>
          <w:rFonts w:ascii="Arial" w:hAnsi="Arial" w:cs="Arial"/>
          <w:i/>
          <w:sz w:val="24"/>
          <w:szCs w:val="24"/>
        </w:rPr>
        <w:br/>
      </w:r>
      <w:r w:rsidR="00592EE1" w:rsidRPr="001E3643">
        <w:rPr>
          <w:rFonts w:ascii="Arial" w:hAnsi="Arial" w:cs="Arial"/>
          <w:i/>
          <w:sz w:val="24"/>
          <w:szCs w:val="24"/>
        </w:rPr>
        <w:t>Procedure for the probationary period and the management trial period</w:t>
      </w:r>
    </w:p>
    <w:p w:rsidR="00592EE1" w:rsidRPr="001E3643" w:rsidRDefault="00592EE1" w:rsidP="005135C8">
      <w:pPr>
        <w:pStyle w:val="ListParagraph"/>
        <w:numPr>
          <w:ilvl w:val="0"/>
          <w:numId w:val="20"/>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During the month which follows the first day of entry into service,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shall meet the probationer in order to comment on his/her job description, </w:t>
      </w:r>
      <w:r w:rsidRPr="001E3643">
        <w:rPr>
          <w:rFonts w:ascii="Arial" w:eastAsia="Calibri" w:hAnsi="Arial" w:cs="Arial"/>
          <w:sz w:val="24"/>
          <w:szCs w:val="24"/>
          <w:lang w:eastAsia="en-GB"/>
        </w:rPr>
        <w:lastRenderedPageBreak/>
        <w:t xml:space="preserve">to set the objectives and to agree, in writing, on how these objectives and the performance level expected from the probationer will be assessed during his/her probationary period. The assessment will particularly take into account the efficiency based on fulfilment of objectives and carrying out of the implementation of </w:t>
      </w:r>
      <w:r w:rsidR="005135C8" w:rsidRPr="001E3643">
        <w:rPr>
          <w:rFonts w:ascii="Arial" w:eastAsia="Calibri" w:hAnsi="Arial" w:cs="Arial"/>
          <w:sz w:val="24"/>
          <w:szCs w:val="24"/>
          <w:lang w:eastAsia="en-GB"/>
        </w:rPr>
        <w:t>the</w:t>
      </w:r>
      <w:r w:rsidR="00F97604" w:rsidRPr="001E3643">
        <w:rPr>
          <w:rFonts w:ascii="Arial" w:eastAsia="Calibri" w:hAnsi="Arial" w:cs="Arial"/>
          <w:sz w:val="24"/>
          <w:szCs w:val="24"/>
          <w:lang w:eastAsia="en-GB"/>
        </w:rPr>
        <w:t xml:space="preserve"> </w:t>
      </w:r>
      <w:r w:rsidRPr="001E3643">
        <w:rPr>
          <w:rFonts w:ascii="Arial" w:eastAsia="Calibri" w:hAnsi="Arial" w:cs="Arial"/>
          <w:sz w:val="24"/>
          <w:szCs w:val="24"/>
          <w:lang w:eastAsia="en-GB"/>
        </w:rPr>
        <w:t>work plan, demonstrated abilitie</w:t>
      </w:r>
      <w:r w:rsidR="005135C8" w:rsidRPr="001E3643">
        <w:rPr>
          <w:rFonts w:ascii="Arial" w:eastAsia="Calibri" w:hAnsi="Arial" w:cs="Arial"/>
          <w:sz w:val="24"/>
          <w:szCs w:val="24"/>
          <w:lang w:eastAsia="en-GB"/>
        </w:rPr>
        <w:t>s and conduct in the service of</w:t>
      </w:r>
      <w:r w:rsidR="00F97604" w:rsidRPr="001E3643">
        <w:rPr>
          <w:rFonts w:ascii="Arial" w:eastAsia="Calibri" w:hAnsi="Arial" w:cs="Arial"/>
          <w:sz w:val="24"/>
          <w:szCs w:val="24"/>
          <w:lang w:eastAsia="en-GB"/>
        </w:rPr>
        <w:t xml:space="preserve"> </w:t>
      </w:r>
      <w:r w:rsidR="005135C8" w:rsidRPr="001E3643">
        <w:rPr>
          <w:rFonts w:ascii="Arial" w:eastAsia="Calibri" w:hAnsi="Arial" w:cs="Arial"/>
          <w:sz w:val="24"/>
          <w:szCs w:val="24"/>
          <w:lang w:eastAsia="en-GB"/>
        </w:rPr>
        <w:t xml:space="preserve">the </w:t>
      </w:r>
      <w:r w:rsidRPr="001E3643">
        <w:rPr>
          <w:rFonts w:ascii="Arial" w:eastAsia="Calibri" w:hAnsi="Arial" w:cs="Arial"/>
          <w:sz w:val="24"/>
          <w:szCs w:val="24"/>
          <w:lang w:eastAsia="en-GB"/>
        </w:rPr>
        <w:t>Executive Director</w:t>
      </w:r>
      <w:r w:rsidR="005135C8" w:rsidRPr="001E3643">
        <w:rPr>
          <w:rFonts w:ascii="Arial" w:eastAsia="Calibri" w:hAnsi="Arial" w:cs="Arial"/>
          <w:sz w:val="24"/>
          <w:szCs w:val="24"/>
          <w:lang w:eastAsia="en-GB"/>
        </w:rPr>
        <w:t xml:space="preserve"> of the Authority</w:t>
      </w:r>
      <w:r w:rsidRPr="001E3643">
        <w:rPr>
          <w:rFonts w:ascii="Arial" w:eastAsia="Calibri" w:hAnsi="Arial" w:cs="Arial"/>
          <w:sz w:val="24"/>
          <w:szCs w:val="24"/>
          <w:lang w:eastAsia="en-GB"/>
        </w:rPr>
        <w:t xml:space="preserve"> in particular with regard to Title II of the Staff Regulations applicable to temporary agents by virtue of Article 11 of the CEOS.</w:t>
      </w:r>
    </w:p>
    <w:p w:rsidR="00592EE1" w:rsidRPr="001E3643" w:rsidRDefault="00592EE1" w:rsidP="005135C8">
      <w:pPr>
        <w:suppressAutoHyphens/>
        <w:autoSpaceDE w:val="0"/>
        <w:autoSpaceDN w:val="0"/>
        <w:adjustRightInd w:val="0"/>
        <w:spacing w:after="0" w:line="240" w:lineRule="auto"/>
        <w:ind w:left="360"/>
        <w:jc w:val="both"/>
        <w:rPr>
          <w:rFonts w:ascii="Arial" w:eastAsia="Calibri" w:hAnsi="Arial" w:cs="Arial"/>
          <w:sz w:val="24"/>
          <w:szCs w:val="24"/>
          <w:lang w:eastAsia="en-GB"/>
        </w:rPr>
      </w:pPr>
    </w:p>
    <w:p w:rsidR="00592EE1" w:rsidRPr="001E3643" w:rsidRDefault="00592EE1" w:rsidP="005135C8">
      <w:pPr>
        <w:pStyle w:val="ListParagraph"/>
        <w:numPr>
          <w:ilvl w:val="0"/>
          <w:numId w:val="20"/>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In case of obvious inaptitude, a report may be drawn up at any time of the probationary period. Further proceedings of the AACC in such a case are stipulated in Article 14(2) of the CEOS.  </w:t>
      </w:r>
    </w:p>
    <w:p w:rsidR="00592EE1" w:rsidRPr="001E3643" w:rsidRDefault="00592EE1" w:rsidP="005135C8">
      <w:pPr>
        <w:suppressAutoHyphens/>
        <w:autoSpaceDE w:val="0"/>
        <w:autoSpaceDN w:val="0"/>
        <w:adjustRightInd w:val="0"/>
        <w:spacing w:after="0" w:line="240" w:lineRule="auto"/>
        <w:ind w:left="360"/>
        <w:jc w:val="both"/>
        <w:rPr>
          <w:rFonts w:ascii="Arial" w:eastAsia="Calibri" w:hAnsi="Arial" w:cs="Arial"/>
          <w:sz w:val="24"/>
          <w:szCs w:val="24"/>
          <w:lang w:eastAsia="en-GB"/>
        </w:rPr>
      </w:pPr>
    </w:p>
    <w:p w:rsidR="00592EE1" w:rsidRPr="001E3643" w:rsidRDefault="00592EE1" w:rsidP="005135C8">
      <w:pPr>
        <w:pStyle w:val="ListParagraph"/>
        <w:numPr>
          <w:ilvl w:val="0"/>
          <w:numId w:val="20"/>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At the latest one month before the expiry of the probationary period, a report shall be drawn up by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on the efficiency of the probationer, on his/her abilities to perform the duties pertaining to his/her post including the probationer's management skills as determined by Article 9(4), and on his/her conduct in the service. The probationer and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shall hold a formal dialogue on the report. </w:t>
      </w:r>
    </w:p>
    <w:p w:rsidR="00592EE1" w:rsidRPr="001E3643" w:rsidRDefault="00592EE1" w:rsidP="005135C8">
      <w:pPr>
        <w:suppressAutoHyphens/>
        <w:autoSpaceDE w:val="0"/>
        <w:autoSpaceDN w:val="0"/>
        <w:adjustRightInd w:val="0"/>
        <w:spacing w:after="0" w:line="240" w:lineRule="auto"/>
        <w:ind w:left="360"/>
        <w:jc w:val="both"/>
        <w:rPr>
          <w:rFonts w:ascii="Arial" w:eastAsia="Calibri" w:hAnsi="Arial" w:cs="Arial"/>
          <w:sz w:val="24"/>
          <w:szCs w:val="24"/>
          <w:lang w:eastAsia="en-GB"/>
        </w:rPr>
      </w:pPr>
    </w:p>
    <w:p w:rsidR="00592EE1" w:rsidRPr="001E3643" w:rsidRDefault="00592EE1" w:rsidP="005135C8">
      <w:pPr>
        <w:pStyle w:val="ListParagraph"/>
        <w:numPr>
          <w:ilvl w:val="0"/>
          <w:numId w:val="20"/>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At the latest ten working days after the formal dialogue, 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shall make a single proposal to the AACC, in the final report, either establishment, extension, according to Article 9(3) of the probationary period, or dismissal of the probationer, which shall be based on the probationer's ability, efficiency, conduct in the service and senior management skills. </w:t>
      </w:r>
    </w:p>
    <w:p w:rsidR="00592EE1" w:rsidRPr="001E3643" w:rsidRDefault="00592EE1" w:rsidP="005135C8">
      <w:pPr>
        <w:suppressAutoHyphens/>
        <w:autoSpaceDE w:val="0"/>
        <w:autoSpaceDN w:val="0"/>
        <w:adjustRightInd w:val="0"/>
        <w:spacing w:after="0" w:line="240" w:lineRule="auto"/>
        <w:ind w:left="360"/>
        <w:jc w:val="both"/>
        <w:rPr>
          <w:rFonts w:ascii="Arial" w:eastAsia="Calibri" w:hAnsi="Arial" w:cs="Arial"/>
          <w:sz w:val="24"/>
          <w:szCs w:val="24"/>
          <w:lang w:eastAsia="en-GB"/>
        </w:rPr>
      </w:pPr>
    </w:p>
    <w:p w:rsidR="00787F8F" w:rsidRPr="001E3643" w:rsidRDefault="00592EE1" w:rsidP="00592EE1">
      <w:pPr>
        <w:pStyle w:val="ListParagraph"/>
        <w:numPr>
          <w:ilvl w:val="0"/>
          <w:numId w:val="20"/>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After having been notified of the report in writing, the probationer has eight working days to accept the report without making any observations, accept it after adding comments in the appropriate section of the report, or refuse the report justifying the reason of the refusal in the appropriate section in conformity with the procedure foreseen in Article 13 of this decision. If the report is accepted by the probationer, the appraisal report is closed. A report is deemed to be accepted in case of absence of reaction of the probationer within the time foreseen.</w:t>
      </w: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13</w:t>
      </w:r>
      <w:r w:rsidRPr="001E3643">
        <w:rPr>
          <w:rFonts w:ascii="Arial" w:hAnsi="Arial" w:cs="Arial"/>
          <w:i/>
          <w:sz w:val="24"/>
          <w:szCs w:val="24"/>
        </w:rPr>
        <w:br/>
      </w:r>
      <w:r w:rsidR="00592EE1" w:rsidRPr="001E3643">
        <w:rPr>
          <w:rFonts w:ascii="Arial" w:hAnsi="Arial" w:cs="Arial"/>
          <w:i/>
          <w:sz w:val="24"/>
          <w:szCs w:val="24"/>
        </w:rPr>
        <w:t>Appeal procedure</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Articles 7 and 8 shall apply </w:t>
      </w:r>
      <w:r w:rsidRPr="001E3643">
        <w:rPr>
          <w:rFonts w:ascii="Arial" w:eastAsia="Calibri" w:hAnsi="Arial" w:cs="Arial"/>
          <w:i/>
          <w:sz w:val="24"/>
          <w:szCs w:val="24"/>
          <w:lang w:eastAsia="en-GB"/>
        </w:rPr>
        <w:t>mutatis mutandis</w:t>
      </w:r>
      <w:r w:rsidRPr="001E3643">
        <w:rPr>
          <w:rFonts w:ascii="Arial" w:eastAsia="Calibri" w:hAnsi="Arial" w:cs="Arial"/>
          <w:sz w:val="24"/>
          <w:szCs w:val="24"/>
          <w:lang w:eastAsia="en-GB"/>
        </w:rPr>
        <w:t xml:space="preserve">. </w:t>
      </w:r>
    </w:p>
    <w:p w:rsidR="00592EE1" w:rsidRPr="001E3643" w:rsidRDefault="00592EE1" w:rsidP="00592EE1">
      <w:pPr>
        <w:keepNext/>
        <w:suppressAutoHyphens/>
        <w:autoSpaceDE w:val="0"/>
        <w:autoSpaceDN w:val="0"/>
        <w:adjustRightInd w:val="0"/>
        <w:spacing w:before="120" w:after="120"/>
        <w:rPr>
          <w:rFonts w:ascii="Arial" w:hAnsi="Arial" w:cs="Arial"/>
          <w:sz w:val="24"/>
          <w:szCs w:val="24"/>
        </w:rPr>
      </w:pPr>
    </w:p>
    <w:p w:rsidR="00592EE1" w:rsidRPr="001E3643" w:rsidRDefault="005135C8" w:rsidP="005135C8">
      <w:pPr>
        <w:suppressAutoHyphens/>
        <w:autoSpaceDE w:val="0"/>
        <w:autoSpaceDN w:val="0"/>
        <w:adjustRightInd w:val="0"/>
        <w:spacing w:before="120" w:after="120" w:line="240" w:lineRule="auto"/>
        <w:jc w:val="center"/>
        <w:rPr>
          <w:rFonts w:ascii="Arial" w:eastAsia="Times New Roman" w:hAnsi="Arial" w:cs="Arial"/>
          <w:sz w:val="24"/>
          <w:szCs w:val="24"/>
          <w:lang w:eastAsia="en-GB"/>
        </w:rPr>
      </w:pPr>
      <w:r w:rsidRPr="001E3643">
        <w:rPr>
          <w:rFonts w:ascii="Arial" w:hAnsi="Arial" w:cs="Arial"/>
          <w:i/>
          <w:sz w:val="24"/>
          <w:szCs w:val="24"/>
        </w:rPr>
        <w:t>Article 14</w:t>
      </w:r>
      <w:r w:rsidRPr="001E3643">
        <w:rPr>
          <w:rFonts w:ascii="Arial" w:hAnsi="Arial" w:cs="Arial"/>
          <w:i/>
          <w:sz w:val="24"/>
          <w:szCs w:val="24"/>
        </w:rPr>
        <w:br/>
      </w:r>
      <w:r w:rsidR="00592EE1" w:rsidRPr="001E3643">
        <w:rPr>
          <w:rFonts w:ascii="Arial" w:hAnsi="Arial" w:cs="Arial"/>
          <w:i/>
          <w:sz w:val="24"/>
          <w:szCs w:val="24"/>
        </w:rPr>
        <w:t>Final decision</w:t>
      </w:r>
    </w:p>
    <w:p w:rsidR="00592EE1" w:rsidRPr="001E3643" w:rsidRDefault="00592EE1" w:rsidP="005135C8">
      <w:pPr>
        <w:pStyle w:val="ListParagraph"/>
        <w:numPr>
          <w:ilvl w:val="0"/>
          <w:numId w:val="21"/>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After the acceptance of the report by the probationer, or, if applicable, at the end of the appeal procedure or possible extension of the probationary period, the AACC shall decide on the action to be taken, namely establishment, extension of the probationary period pursuant to Article 9(3), or dismissal of the probationer. In the case of dismissal, the AACC shall decide after hearing the probationer.  </w:t>
      </w:r>
    </w:p>
    <w:p w:rsidR="00592EE1" w:rsidRPr="001E3643" w:rsidRDefault="00592EE1" w:rsidP="00EC737F">
      <w:pPr>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 xml:space="preserve">The </w:t>
      </w:r>
      <w:r w:rsidR="007A7086" w:rsidRPr="001E3643">
        <w:rPr>
          <w:rFonts w:ascii="Arial" w:eastAsia="Calibri" w:hAnsi="Arial" w:cs="Arial"/>
          <w:sz w:val="24"/>
          <w:szCs w:val="24"/>
          <w:lang w:eastAsia="en-GB"/>
        </w:rPr>
        <w:t>reporting officers</w:t>
      </w:r>
      <w:r w:rsidRPr="001E3643">
        <w:rPr>
          <w:rFonts w:ascii="Arial" w:eastAsia="Calibri" w:hAnsi="Arial" w:cs="Arial"/>
          <w:sz w:val="24"/>
          <w:szCs w:val="24"/>
          <w:lang w:eastAsia="en-GB"/>
        </w:rPr>
        <w:t xml:space="preserve"> and, if applicable the appeal assessor, shall be excluded from the decision referred to in paragraph 1. </w:t>
      </w:r>
    </w:p>
    <w:p w:rsidR="00592EE1" w:rsidRPr="001E3643" w:rsidRDefault="00592EE1" w:rsidP="00592EE1">
      <w:pPr>
        <w:rPr>
          <w:rFonts w:ascii="Arial" w:hAnsi="Arial" w:cs="Arial"/>
          <w:sz w:val="24"/>
          <w:szCs w:val="24"/>
          <w:lang w:eastAsia="en-GB"/>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lastRenderedPageBreak/>
        <w:t>Article 15</w:t>
      </w:r>
      <w:r w:rsidRPr="001E3643">
        <w:rPr>
          <w:rFonts w:ascii="Arial" w:hAnsi="Arial" w:cs="Arial"/>
          <w:i/>
          <w:sz w:val="24"/>
          <w:szCs w:val="24"/>
        </w:rPr>
        <w:br/>
      </w:r>
      <w:r w:rsidR="00592EE1" w:rsidRPr="001E3643">
        <w:rPr>
          <w:rFonts w:ascii="Arial" w:hAnsi="Arial" w:cs="Arial"/>
          <w:i/>
          <w:sz w:val="24"/>
          <w:szCs w:val="24"/>
        </w:rPr>
        <w:t>Management allowance</w:t>
      </w:r>
    </w:p>
    <w:p w:rsidR="00592EE1" w:rsidRPr="001E3643" w:rsidRDefault="00592EE1" w:rsidP="005135C8">
      <w:pPr>
        <w:pStyle w:val="ListParagraph"/>
        <w:numPr>
          <w:ilvl w:val="0"/>
          <w:numId w:val="22"/>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management allowance is paid after written confirmation of the probationer's capacity to fulfil his/her management functions satisfactorily in the report referred to in Article 11 once the latter is closed.</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p>
    <w:p w:rsidR="00592EE1" w:rsidRPr="001E3643" w:rsidRDefault="00592EE1" w:rsidP="005135C8">
      <w:pPr>
        <w:pStyle w:val="ListParagraph"/>
        <w:numPr>
          <w:ilvl w:val="0"/>
          <w:numId w:val="22"/>
        </w:numPr>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management allowance is paid retroactively as from the date of appointment of the probationer.</w:t>
      </w:r>
    </w:p>
    <w:p w:rsidR="00592EE1" w:rsidRPr="001E3643" w:rsidRDefault="00592EE1" w:rsidP="00592EE1">
      <w:pPr>
        <w:rPr>
          <w:rFonts w:ascii="Arial" w:hAnsi="Arial" w:cs="Arial"/>
          <w:sz w:val="24"/>
          <w:szCs w:val="24"/>
          <w:lang w:eastAsia="en-GB"/>
        </w:rPr>
      </w:pPr>
    </w:p>
    <w:p w:rsidR="00592EE1" w:rsidRPr="001E3643" w:rsidRDefault="005135C8" w:rsidP="005135C8">
      <w:pPr>
        <w:suppressAutoHyphens/>
        <w:autoSpaceDE w:val="0"/>
        <w:autoSpaceDN w:val="0"/>
        <w:adjustRightInd w:val="0"/>
        <w:spacing w:before="120" w:after="120" w:line="240" w:lineRule="auto"/>
        <w:jc w:val="center"/>
        <w:rPr>
          <w:rFonts w:ascii="Arial" w:hAnsi="Arial" w:cs="Arial"/>
          <w:i/>
          <w:sz w:val="24"/>
          <w:szCs w:val="24"/>
        </w:rPr>
      </w:pPr>
      <w:r w:rsidRPr="001E3643">
        <w:rPr>
          <w:rFonts w:ascii="Arial" w:hAnsi="Arial" w:cs="Arial"/>
          <w:i/>
          <w:sz w:val="24"/>
          <w:szCs w:val="24"/>
        </w:rPr>
        <w:t>Article 16</w:t>
      </w:r>
      <w:r w:rsidRPr="001E3643">
        <w:rPr>
          <w:rFonts w:ascii="Arial" w:hAnsi="Arial" w:cs="Arial"/>
          <w:i/>
          <w:sz w:val="24"/>
          <w:szCs w:val="24"/>
        </w:rPr>
        <w:br/>
      </w:r>
      <w:r w:rsidR="00592EE1" w:rsidRPr="001E3643">
        <w:rPr>
          <w:rFonts w:ascii="Arial" w:hAnsi="Arial" w:cs="Arial"/>
          <w:i/>
          <w:sz w:val="24"/>
          <w:szCs w:val="24"/>
        </w:rPr>
        <w:t>Entry into force</w:t>
      </w:r>
    </w:p>
    <w:p w:rsidR="00592EE1" w:rsidRPr="001E3643" w:rsidRDefault="00592EE1" w:rsidP="005135C8">
      <w:pPr>
        <w:pStyle w:val="ListParagraph"/>
        <w:suppressAutoHyphens/>
        <w:autoSpaceDE w:val="0"/>
        <w:autoSpaceDN w:val="0"/>
        <w:adjustRightInd w:val="0"/>
        <w:spacing w:after="0" w:line="240" w:lineRule="auto"/>
        <w:jc w:val="both"/>
        <w:rPr>
          <w:rFonts w:ascii="Arial" w:eastAsia="Calibri" w:hAnsi="Arial" w:cs="Arial"/>
          <w:sz w:val="24"/>
          <w:szCs w:val="24"/>
          <w:lang w:eastAsia="en-GB"/>
        </w:rPr>
      </w:pPr>
      <w:r w:rsidRPr="001E3643">
        <w:rPr>
          <w:rFonts w:ascii="Arial" w:eastAsia="Calibri" w:hAnsi="Arial" w:cs="Arial"/>
          <w:sz w:val="24"/>
          <w:szCs w:val="24"/>
          <w:lang w:eastAsia="en-GB"/>
        </w:rPr>
        <w:t>The present Decision shall take effect on the day following that of its adoption.</w:t>
      </w:r>
    </w:p>
    <w:p w:rsidR="00592EE1" w:rsidRPr="001E3643" w:rsidRDefault="00592EE1" w:rsidP="00592EE1">
      <w:pPr>
        <w:pStyle w:val="Personnequisigne"/>
        <w:keepNext/>
        <w:ind w:left="5670"/>
        <w:rPr>
          <w:rFonts w:ascii="Arial" w:hAnsi="Arial" w:cs="Arial"/>
          <w:szCs w:val="24"/>
        </w:rPr>
      </w:pPr>
    </w:p>
    <w:p w:rsidR="005135C8" w:rsidRPr="001E3643" w:rsidRDefault="005135C8" w:rsidP="00DD688B">
      <w:pPr>
        <w:spacing w:line="288" w:lineRule="auto"/>
        <w:rPr>
          <w:rFonts w:ascii="Arial" w:eastAsia="Times New Roman" w:hAnsi="Arial" w:cs="Arial"/>
          <w:sz w:val="24"/>
          <w:szCs w:val="24"/>
          <w:lang w:eastAsia="en-GB"/>
        </w:rPr>
      </w:pPr>
    </w:p>
    <w:p w:rsidR="005E5CD6" w:rsidRDefault="005E5CD6" w:rsidP="005135C8">
      <w:pPr>
        <w:spacing w:line="288" w:lineRule="auto"/>
        <w:jc w:val="right"/>
        <w:rPr>
          <w:rFonts w:ascii="Arial" w:eastAsia="Times New Roman" w:hAnsi="Arial" w:cs="Arial"/>
          <w:sz w:val="24"/>
          <w:szCs w:val="24"/>
          <w:lang w:eastAsia="en-GB"/>
        </w:rPr>
      </w:pPr>
      <w:r>
        <w:rPr>
          <w:rFonts w:ascii="Arial" w:eastAsia="Times New Roman" w:hAnsi="Arial" w:cs="Arial"/>
          <w:sz w:val="24"/>
          <w:szCs w:val="24"/>
          <w:lang w:eastAsia="en-GB"/>
        </w:rPr>
        <w:t>Done by written procedure</w:t>
      </w:r>
    </w:p>
    <w:p w:rsidR="00DD688B" w:rsidRPr="001E3643" w:rsidRDefault="005E5CD6" w:rsidP="005135C8">
      <w:pPr>
        <w:spacing w:line="288" w:lineRule="auto"/>
        <w:jc w:val="right"/>
        <w:rPr>
          <w:rFonts w:ascii="Arial" w:hAnsi="Arial" w:cs="Arial"/>
          <w:bCs/>
          <w:sz w:val="24"/>
          <w:szCs w:val="24"/>
        </w:rPr>
      </w:pPr>
      <w:r>
        <w:rPr>
          <w:rFonts w:ascii="Arial" w:eastAsia="Times New Roman" w:hAnsi="Arial" w:cs="Arial"/>
          <w:sz w:val="24"/>
          <w:szCs w:val="24"/>
          <w:lang w:eastAsia="en-GB"/>
        </w:rPr>
        <w:t>25</w:t>
      </w:r>
      <w:bookmarkStart w:id="0" w:name="_GoBack"/>
      <w:bookmarkEnd w:id="0"/>
      <w:r w:rsidR="00DD688B" w:rsidRPr="001E3643">
        <w:rPr>
          <w:rFonts w:ascii="Arial" w:eastAsia="Times New Roman" w:hAnsi="Arial" w:cs="Arial"/>
          <w:sz w:val="24"/>
          <w:szCs w:val="24"/>
          <w:lang w:eastAsia="en-GB"/>
        </w:rPr>
        <w:t xml:space="preserve"> March </w:t>
      </w:r>
      <w:r w:rsidR="00DD688B" w:rsidRPr="001E3643">
        <w:rPr>
          <w:rFonts w:ascii="Arial" w:hAnsi="Arial" w:cs="Arial"/>
          <w:bCs/>
          <w:sz w:val="24"/>
          <w:szCs w:val="24"/>
        </w:rPr>
        <w:t>2020</w:t>
      </w:r>
    </w:p>
    <w:p w:rsidR="00DD688B" w:rsidRPr="001E3643" w:rsidRDefault="005135C8" w:rsidP="00DD688B">
      <w:pPr>
        <w:spacing w:line="288" w:lineRule="auto"/>
        <w:jc w:val="right"/>
        <w:rPr>
          <w:rFonts w:ascii="Arial" w:hAnsi="Arial" w:cs="Arial"/>
          <w:bCs/>
          <w:sz w:val="24"/>
          <w:szCs w:val="24"/>
        </w:rPr>
      </w:pPr>
      <w:r w:rsidRPr="001E3643">
        <w:rPr>
          <w:rFonts w:ascii="Arial" w:hAnsi="Arial" w:cs="Arial"/>
          <w:bCs/>
          <w:sz w:val="24"/>
          <w:szCs w:val="24"/>
        </w:rPr>
        <w:t>For</w:t>
      </w:r>
      <w:r w:rsidR="00DD688B" w:rsidRPr="001E3643">
        <w:rPr>
          <w:rFonts w:ascii="Arial" w:hAnsi="Arial" w:cs="Arial"/>
          <w:bCs/>
          <w:sz w:val="24"/>
          <w:szCs w:val="24"/>
        </w:rPr>
        <w:t xml:space="preserve"> the Management Board</w:t>
      </w:r>
    </w:p>
    <w:p w:rsidR="00DD688B" w:rsidRPr="001E3643" w:rsidRDefault="00DD688B" w:rsidP="00DD688B">
      <w:pPr>
        <w:spacing w:line="288" w:lineRule="auto"/>
        <w:jc w:val="right"/>
        <w:rPr>
          <w:rFonts w:ascii="Arial" w:hAnsi="Arial" w:cs="Arial"/>
          <w:bCs/>
          <w:sz w:val="24"/>
          <w:szCs w:val="24"/>
        </w:rPr>
      </w:pPr>
    </w:p>
    <w:p w:rsidR="005135C8" w:rsidRDefault="005135C8" w:rsidP="00DD688B">
      <w:pPr>
        <w:spacing w:line="288" w:lineRule="auto"/>
        <w:jc w:val="right"/>
        <w:rPr>
          <w:rFonts w:ascii="Arial" w:hAnsi="Arial" w:cs="Arial"/>
          <w:bCs/>
          <w:sz w:val="24"/>
          <w:szCs w:val="24"/>
        </w:rPr>
      </w:pPr>
    </w:p>
    <w:p w:rsidR="001E3643" w:rsidRPr="001E3643" w:rsidRDefault="001E3643" w:rsidP="00DD688B">
      <w:pPr>
        <w:spacing w:line="288" w:lineRule="auto"/>
        <w:jc w:val="right"/>
        <w:rPr>
          <w:rFonts w:ascii="Arial" w:hAnsi="Arial" w:cs="Arial"/>
          <w:bCs/>
          <w:sz w:val="24"/>
          <w:szCs w:val="24"/>
        </w:rPr>
      </w:pPr>
    </w:p>
    <w:p w:rsidR="00834C73" w:rsidRPr="001E3643" w:rsidRDefault="00DD688B" w:rsidP="005135C8">
      <w:pPr>
        <w:spacing w:line="288" w:lineRule="auto"/>
        <w:jc w:val="right"/>
        <w:rPr>
          <w:rFonts w:ascii="Arial" w:eastAsia="Times New Roman" w:hAnsi="Arial" w:cs="Arial"/>
          <w:sz w:val="24"/>
          <w:szCs w:val="24"/>
          <w:lang w:eastAsia="en-GB"/>
        </w:rPr>
      </w:pPr>
      <w:r w:rsidRPr="001E3643">
        <w:rPr>
          <w:rFonts w:ascii="Arial" w:hAnsi="Arial" w:cs="Arial"/>
          <w:bCs/>
          <w:sz w:val="24"/>
          <w:szCs w:val="24"/>
        </w:rPr>
        <w:t>Tom BEVERS</w:t>
      </w:r>
      <w:r w:rsidRPr="001E3643">
        <w:rPr>
          <w:rFonts w:ascii="Arial" w:hAnsi="Arial" w:cs="Arial"/>
          <w:bCs/>
          <w:sz w:val="24"/>
          <w:szCs w:val="24"/>
        </w:rPr>
        <w:br/>
        <w:t>Chairperson of the Management Board</w:t>
      </w:r>
    </w:p>
    <w:sectPr w:rsidR="00834C73" w:rsidRPr="001E3643" w:rsidSect="00CF21ED">
      <w:headerReference w:type="even" r:id="rId12"/>
      <w:headerReference w:type="default" r:id="rId13"/>
      <w:footerReference w:type="even" r:id="rId14"/>
      <w:footerReference w:type="default" r:id="rId15"/>
      <w:headerReference w:type="first" r:id="rId16"/>
      <w:footerReference w:type="first" r:id="rId17"/>
      <w:pgSz w:w="11907" w:h="16839" w:code="9"/>
      <w:pgMar w:top="958" w:right="1134" w:bottom="1367" w:left="118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F3" w:rsidRDefault="00FB58F3" w:rsidP="00592EE1">
      <w:pPr>
        <w:spacing w:after="0" w:line="240" w:lineRule="auto"/>
      </w:pPr>
      <w:r>
        <w:separator/>
      </w:r>
    </w:p>
  </w:endnote>
  <w:endnote w:type="continuationSeparator" w:id="0">
    <w:p w:rsidR="00FB58F3" w:rsidRDefault="00FB58F3" w:rsidP="005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E" w:rsidRDefault="00FE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946638"/>
      <w:docPartObj>
        <w:docPartGallery w:val="Page Numbers (Bottom of Page)"/>
        <w:docPartUnique/>
      </w:docPartObj>
    </w:sdtPr>
    <w:sdtEndPr>
      <w:rPr>
        <w:noProof/>
      </w:rPr>
    </w:sdtEndPr>
    <w:sdtContent>
      <w:p w:rsidR="005135C8" w:rsidRDefault="005135C8">
        <w:pPr>
          <w:pStyle w:val="Footer"/>
          <w:jc w:val="center"/>
        </w:pPr>
        <w:r>
          <w:fldChar w:fldCharType="begin"/>
        </w:r>
        <w:r>
          <w:instrText xml:space="preserve"> PAGE   \* MERGEFORMAT </w:instrText>
        </w:r>
        <w:r>
          <w:fldChar w:fldCharType="separate"/>
        </w:r>
        <w:r w:rsidR="005E5CD6">
          <w:rPr>
            <w:noProof/>
          </w:rPr>
          <w:t>6</w:t>
        </w:r>
        <w:r>
          <w:rPr>
            <w:noProof/>
          </w:rPr>
          <w:fldChar w:fldCharType="end"/>
        </w:r>
      </w:p>
    </w:sdtContent>
  </w:sdt>
  <w:p w:rsidR="00CF21ED" w:rsidRDefault="005E5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E" w:rsidRDefault="00FE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F3" w:rsidRDefault="00FB58F3" w:rsidP="00592EE1">
      <w:pPr>
        <w:spacing w:after="0" w:line="240" w:lineRule="auto"/>
      </w:pPr>
      <w:r>
        <w:separator/>
      </w:r>
    </w:p>
  </w:footnote>
  <w:footnote w:type="continuationSeparator" w:id="0">
    <w:p w:rsidR="00FB58F3" w:rsidRDefault="00FB58F3" w:rsidP="00592EE1">
      <w:pPr>
        <w:spacing w:after="0" w:line="240" w:lineRule="auto"/>
      </w:pPr>
      <w:r>
        <w:continuationSeparator/>
      </w:r>
    </w:p>
  </w:footnote>
  <w:footnote w:id="1">
    <w:p w:rsidR="00592EE1" w:rsidRPr="00FE3773" w:rsidRDefault="00592EE1" w:rsidP="008D23C0">
      <w:pPr>
        <w:pStyle w:val="FootnoteText"/>
        <w:ind w:left="142" w:hanging="142"/>
        <w:rPr>
          <w:rFonts w:ascii="Arial" w:hAnsi="Arial" w:cs="Arial"/>
          <w:sz w:val="12"/>
          <w:szCs w:val="16"/>
        </w:rPr>
      </w:pPr>
      <w:r w:rsidRPr="00FE3773">
        <w:rPr>
          <w:rStyle w:val="FootnoteReference"/>
          <w:rFonts w:ascii="Arial" w:hAnsi="Arial" w:cs="Arial"/>
          <w:sz w:val="12"/>
          <w:szCs w:val="16"/>
        </w:rPr>
        <w:footnoteRef/>
      </w:r>
      <w:r w:rsidR="008B58E6" w:rsidRPr="00FE3773">
        <w:rPr>
          <w:rFonts w:ascii="Arial" w:hAnsi="Arial" w:cs="Arial"/>
          <w:sz w:val="12"/>
          <w:szCs w:val="16"/>
        </w:rPr>
        <w:t xml:space="preserve"> </w:t>
      </w:r>
      <w:r w:rsidR="008B58E6" w:rsidRPr="00FE3773">
        <w:rPr>
          <w:rFonts w:ascii="Arial" w:hAnsi="Arial" w:cs="Arial"/>
          <w:sz w:val="16"/>
          <w:szCs w:val="16"/>
        </w:rPr>
        <w:t>OJ L 56, 4.3.1968, p. 1, as last amended by Regulation (EU, Euratom) No 1023/2013 of the European Parliament and of the Council of 22 October 2013, OJ L 287, 29.10.2013, p. 15.</w:t>
      </w:r>
    </w:p>
  </w:footnote>
  <w:footnote w:id="2">
    <w:p w:rsidR="008B58E6" w:rsidRPr="008D23C0" w:rsidRDefault="008B58E6">
      <w:pPr>
        <w:pStyle w:val="FootnoteText"/>
        <w:rPr>
          <w:lang w:val="en-IE"/>
        </w:rPr>
      </w:pPr>
      <w:r w:rsidRPr="00FE3773">
        <w:rPr>
          <w:rStyle w:val="FootnoteReference"/>
          <w:rFonts w:ascii="Arial" w:hAnsi="Arial" w:cs="Arial"/>
          <w:sz w:val="16"/>
        </w:rPr>
        <w:footnoteRef/>
      </w:r>
      <w:r w:rsidRPr="00FE3773">
        <w:rPr>
          <w:rFonts w:ascii="Arial" w:hAnsi="Arial" w:cs="Arial"/>
          <w:sz w:val="16"/>
        </w:rPr>
        <w:t xml:space="preserve"> </w:t>
      </w:r>
      <w:r w:rsidRPr="00FE3773">
        <w:rPr>
          <w:rFonts w:ascii="Arial" w:hAnsi="Arial" w:cs="Arial"/>
          <w:sz w:val="16"/>
          <w:szCs w:val="16"/>
        </w:rPr>
        <w:t>OJ L 186, 11.7.2019, p.21.</w:t>
      </w:r>
    </w:p>
  </w:footnote>
  <w:footnote w:id="3">
    <w:p w:rsidR="00D969E5" w:rsidRPr="00FE3773" w:rsidRDefault="00D969E5">
      <w:pPr>
        <w:pStyle w:val="FootnoteText"/>
        <w:rPr>
          <w:rFonts w:ascii="Arial" w:hAnsi="Arial" w:cs="Arial"/>
          <w:sz w:val="16"/>
          <w:szCs w:val="16"/>
        </w:rPr>
      </w:pPr>
      <w:r w:rsidRPr="00FE3773">
        <w:rPr>
          <w:rStyle w:val="FootnoteReference"/>
          <w:rFonts w:ascii="Arial" w:hAnsi="Arial" w:cs="Arial"/>
          <w:sz w:val="16"/>
          <w:szCs w:val="16"/>
        </w:rPr>
        <w:footnoteRef/>
      </w:r>
      <w:r w:rsidRPr="00FE3773">
        <w:rPr>
          <w:rFonts w:ascii="Arial" w:hAnsi="Arial" w:cs="Arial"/>
          <w:sz w:val="16"/>
          <w:szCs w:val="16"/>
        </w:rPr>
        <w:t xml:space="preserve"> Pursuant to Article 43 of the SR applicable by virtue of Article 15(3) of the CEOS</w:t>
      </w:r>
    </w:p>
  </w:footnote>
  <w:footnote w:id="4">
    <w:p w:rsidR="00592EE1" w:rsidRPr="00FE3773" w:rsidRDefault="00592EE1" w:rsidP="00592EE1">
      <w:pPr>
        <w:pStyle w:val="FootnoteText"/>
        <w:rPr>
          <w:rFonts w:ascii="Arial" w:hAnsi="Arial" w:cs="Arial"/>
        </w:rPr>
      </w:pPr>
      <w:r w:rsidRPr="00FE3773">
        <w:rPr>
          <w:rFonts w:ascii="Arial" w:hAnsi="Arial" w:cs="Arial"/>
          <w:sz w:val="16"/>
          <w:szCs w:val="16"/>
        </w:rPr>
        <w:footnoteRef/>
      </w:r>
      <w:r w:rsidRPr="00FE3773">
        <w:rPr>
          <w:rFonts w:ascii="Arial" w:hAnsi="Arial" w:cs="Arial"/>
          <w:sz w:val="16"/>
          <w:szCs w:val="16"/>
        </w:rPr>
        <w:t xml:space="preserve"> In that case, </w:t>
      </w:r>
      <w:r w:rsidR="005135C8">
        <w:rPr>
          <w:rFonts w:ascii="Arial" w:hAnsi="Arial" w:cs="Arial"/>
          <w:sz w:val="16"/>
          <w:szCs w:val="16"/>
        </w:rPr>
        <w:t>the Authority’s</w:t>
      </w:r>
      <w:r w:rsidR="00404121" w:rsidRPr="00FE3773">
        <w:rPr>
          <w:rFonts w:ascii="Arial" w:hAnsi="Arial" w:cs="Arial"/>
          <w:sz w:val="16"/>
          <w:szCs w:val="16"/>
        </w:rPr>
        <w:t xml:space="preserve"> </w:t>
      </w:r>
      <w:r w:rsidRPr="00FE3773">
        <w:rPr>
          <w:rFonts w:ascii="Arial" w:hAnsi="Arial" w:cs="Arial"/>
          <w:sz w:val="16"/>
          <w:szCs w:val="16"/>
        </w:rPr>
        <w:t>Management Board represented by its Chair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E" w:rsidRDefault="00FE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A" w:rsidRDefault="005E5CD6" w:rsidP="00CE75B0">
    <w:pPr>
      <w:pStyle w:val="Header"/>
      <w:jc w:val="center"/>
    </w:pPr>
  </w:p>
  <w:p w:rsidR="00CE75B0" w:rsidRDefault="00CE75B0" w:rsidP="00CE75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ED" w:rsidRDefault="009B56A6" w:rsidP="009B56A6">
    <w:pPr>
      <w:pStyle w:val="Header"/>
    </w:pPr>
    <w:r>
      <w:rPr>
        <w:rFonts w:ascii="Arial" w:hAnsi="Arial" w:cs="Arial"/>
        <w:noProof/>
        <w:lang w:val="en-US"/>
      </w:rPr>
      <w:t>ELA/MB/2020/010</w:t>
    </w:r>
  </w:p>
  <w:p w:rsidR="008B58E6" w:rsidRDefault="008B58E6" w:rsidP="008D23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63D"/>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657"/>
    <w:multiLevelType w:val="hybridMultilevel"/>
    <w:tmpl w:val="2A2056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35A3B"/>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A4A8A"/>
    <w:multiLevelType w:val="singleLevel"/>
    <w:tmpl w:val="FC5E707C"/>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13375C6E"/>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70C97"/>
    <w:multiLevelType w:val="hybridMultilevel"/>
    <w:tmpl w:val="C3DA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237AD"/>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01F84"/>
    <w:multiLevelType w:val="hybridMultilevel"/>
    <w:tmpl w:val="1D9E93D6"/>
    <w:lvl w:ilvl="0" w:tplc="5B72B388">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6E3CFA"/>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FCF"/>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61EEE"/>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36224"/>
    <w:multiLevelType w:val="hybridMultilevel"/>
    <w:tmpl w:val="A57622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642D52"/>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B5359"/>
    <w:multiLevelType w:val="hybridMultilevel"/>
    <w:tmpl w:val="5D9CC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02BCD"/>
    <w:multiLevelType w:val="multilevel"/>
    <w:tmpl w:val="6BE47A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940178"/>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75AA3"/>
    <w:multiLevelType w:val="hybridMultilevel"/>
    <w:tmpl w:val="BE6E3A9C"/>
    <w:lvl w:ilvl="0" w:tplc="F6EE8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B5517"/>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E0D65"/>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87098"/>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50EC8"/>
    <w:multiLevelType w:val="hybridMultilevel"/>
    <w:tmpl w:val="6804F624"/>
    <w:lvl w:ilvl="0" w:tplc="10AAC3C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21"/>
    <w:lvlOverride w:ilvl="0">
      <w:startOverride w:val="1"/>
    </w:lvlOverride>
  </w:num>
  <w:num w:numId="4">
    <w:abstractNumId w:val="3"/>
  </w:num>
  <w:num w:numId="5">
    <w:abstractNumId w:val="7"/>
  </w:num>
  <w:num w:numId="6">
    <w:abstractNumId w:val="5"/>
  </w:num>
  <w:num w:numId="7">
    <w:abstractNumId w:val="1"/>
  </w:num>
  <w:num w:numId="8">
    <w:abstractNumId w:val="11"/>
  </w:num>
  <w:num w:numId="9">
    <w:abstractNumId w:val="15"/>
  </w:num>
  <w:num w:numId="10">
    <w:abstractNumId w:val="9"/>
  </w:num>
  <w:num w:numId="11">
    <w:abstractNumId w:val="4"/>
  </w:num>
  <w:num w:numId="12">
    <w:abstractNumId w:val="8"/>
  </w:num>
  <w:num w:numId="13">
    <w:abstractNumId w:val="19"/>
  </w:num>
  <w:num w:numId="14">
    <w:abstractNumId w:val="18"/>
  </w:num>
  <w:num w:numId="15">
    <w:abstractNumId w:val="14"/>
  </w:num>
  <w:num w:numId="16">
    <w:abstractNumId w:val="0"/>
  </w:num>
  <w:num w:numId="17">
    <w:abstractNumId w:val="17"/>
  </w:num>
  <w:num w:numId="18">
    <w:abstractNumId w:val="10"/>
  </w:num>
  <w:num w:numId="19">
    <w:abstractNumId w:val="6"/>
  </w:num>
  <w:num w:numId="20">
    <w:abstractNumId w:val="12"/>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92EE1"/>
    <w:rsid w:val="000237C7"/>
    <w:rsid w:val="00117196"/>
    <w:rsid w:val="001816A9"/>
    <w:rsid w:val="001B74A3"/>
    <w:rsid w:val="001E3643"/>
    <w:rsid w:val="00343EA3"/>
    <w:rsid w:val="003A50DF"/>
    <w:rsid w:val="003C43D8"/>
    <w:rsid w:val="003F40A0"/>
    <w:rsid w:val="003F7ACC"/>
    <w:rsid w:val="00404121"/>
    <w:rsid w:val="0044580D"/>
    <w:rsid w:val="00446A61"/>
    <w:rsid w:val="00506D68"/>
    <w:rsid w:val="005135C8"/>
    <w:rsid w:val="005207F6"/>
    <w:rsid w:val="00592EE1"/>
    <w:rsid w:val="005E5CD6"/>
    <w:rsid w:val="0066657C"/>
    <w:rsid w:val="006A0E0C"/>
    <w:rsid w:val="0075544D"/>
    <w:rsid w:val="00787F8F"/>
    <w:rsid w:val="007A7086"/>
    <w:rsid w:val="00834C73"/>
    <w:rsid w:val="008A0795"/>
    <w:rsid w:val="008B58E6"/>
    <w:rsid w:val="008D23C0"/>
    <w:rsid w:val="008D3214"/>
    <w:rsid w:val="00943A6A"/>
    <w:rsid w:val="009B56A6"/>
    <w:rsid w:val="00A06279"/>
    <w:rsid w:val="00B249EF"/>
    <w:rsid w:val="00B3265A"/>
    <w:rsid w:val="00B71CAC"/>
    <w:rsid w:val="00C40D38"/>
    <w:rsid w:val="00C54D11"/>
    <w:rsid w:val="00CE75B0"/>
    <w:rsid w:val="00D365AA"/>
    <w:rsid w:val="00D52EBA"/>
    <w:rsid w:val="00D7400F"/>
    <w:rsid w:val="00D969E5"/>
    <w:rsid w:val="00DD688B"/>
    <w:rsid w:val="00EC737F"/>
    <w:rsid w:val="00F84E09"/>
    <w:rsid w:val="00F97604"/>
    <w:rsid w:val="00FB58F3"/>
    <w:rsid w:val="00FD6595"/>
    <w:rsid w:val="00FE3773"/>
    <w:rsid w:val="00FE62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853A3"/>
  <w15:chartTrackingRefBased/>
  <w15:docId w15:val="{D1B24668-FD04-42C4-BDAA-DA3B3207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E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EE1"/>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592EE1"/>
    <w:pPr>
      <w:widowControl w:val="0"/>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5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E1"/>
    <w:rPr>
      <w:lang w:val="en-GB"/>
    </w:rPr>
  </w:style>
  <w:style w:type="paragraph" w:styleId="PlainText">
    <w:name w:val="Plain Text"/>
    <w:basedOn w:val="Normal"/>
    <w:link w:val="PlainTextChar"/>
    <w:uiPriority w:val="99"/>
    <w:unhideWhenUsed/>
    <w:rsid w:val="00592E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2EE1"/>
    <w:rPr>
      <w:rFonts w:ascii="Calibri" w:hAnsi="Calibri"/>
      <w:szCs w:val="21"/>
      <w:lang w:val="en-GB"/>
    </w:rPr>
  </w:style>
  <w:style w:type="paragraph" w:styleId="FootnoteText">
    <w:name w:val="footnote text"/>
    <w:basedOn w:val="Normal"/>
    <w:link w:val="FootnoteTextChar"/>
    <w:unhideWhenUsed/>
    <w:rsid w:val="00592EE1"/>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rsid w:val="00592EE1"/>
    <w:rPr>
      <w:rFonts w:ascii="Times New Roman" w:eastAsia="Calibri" w:hAnsi="Times New Roman" w:cs="Times New Roman"/>
      <w:sz w:val="20"/>
      <w:szCs w:val="20"/>
      <w:lang w:val="en-GB" w:eastAsia="en-GB"/>
    </w:rPr>
  </w:style>
  <w:style w:type="character" w:styleId="FootnoteReference">
    <w:name w:val="footnote reference"/>
    <w:unhideWhenUsed/>
    <w:rsid w:val="00592EE1"/>
    <w:rPr>
      <w:shd w:val="clear" w:color="auto" w:fill="auto"/>
      <w:vertAlign w:val="superscript"/>
    </w:rPr>
  </w:style>
  <w:style w:type="paragraph" w:styleId="Footer">
    <w:name w:val="footer"/>
    <w:basedOn w:val="Normal"/>
    <w:link w:val="FooterChar"/>
    <w:uiPriority w:val="99"/>
    <w:unhideWhenUsed/>
    <w:rsid w:val="005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E1"/>
    <w:rPr>
      <w:lang w:val="en-GB"/>
    </w:rPr>
  </w:style>
  <w:style w:type="paragraph" w:customStyle="1" w:styleId="Fait">
    <w:name w:val="Fait à"/>
    <w:basedOn w:val="Normal"/>
    <w:next w:val="Institutionquisigne"/>
    <w:rsid w:val="00592EE1"/>
    <w:pPr>
      <w:keepNext/>
      <w:spacing w:before="120" w:after="0" w:line="240" w:lineRule="auto"/>
      <w:jc w:val="both"/>
    </w:pPr>
    <w:rPr>
      <w:rFonts w:ascii="Times New Roman" w:eastAsia="Calibri" w:hAnsi="Times New Roman" w:cs="Times New Roman"/>
      <w:sz w:val="24"/>
      <w:szCs w:val="20"/>
      <w:lang w:eastAsia="en-GB"/>
    </w:rPr>
  </w:style>
  <w:style w:type="paragraph" w:customStyle="1" w:styleId="Formuledadoption">
    <w:name w:val="Formule d'adoption"/>
    <w:basedOn w:val="Normal"/>
    <w:next w:val="Titrearticle"/>
    <w:rsid w:val="00592EE1"/>
    <w:pPr>
      <w:keepNext/>
      <w:spacing w:before="120" w:after="120" w:line="240" w:lineRule="auto"/>
      <w:jc w:val="both"/>
    </w:pPr>
    <w:rPr>
      <w:rFonts w:ascii="Times New Roman" w:eastAsia="Calibri" w:hAnsi="Times New Roman" w:cs="Times New Roman"/>
      <w:sz w:val="24"/>
      <w:szCs w:val="20"/>
      <w:lang w:eastAsia="en-GB"/>
    </w:rPr>
  </w:style>
  <w:style w:type="paragraph" w:customStyle="1" w:styleId="Institutionquisigne">
    <w:name w:val="Institution qui signe"/>
    <w:basedOn w:val="Normal"/>
    <w:next w:val="Personnequisigne"/>
    <w:rsid w:val="00592EE1"/>
    <w:pPr>
      <w:keepNext/>
      <w:tabs>
        <w:tab w:val="left" w:pos="4252"/>
      </w:tabs>
      <w:spacing w:before="720" w:after="0" w:line="240" w:lineRule="auto"/>
      <w:jc w:val="both"/>
    </w:pPr>
    <w:rPr>
      <w:rFonts w:ascii="Times New Roman" w:eastAsia="Calibri" w:hAnsi="Times New Roman" w:cs="Times New Roman"/>
      <w:i/>
      <w:sz w:val="24"/>
      <w:szCs w:val="20"/>
      <w:lang w:eastAsia="en-GB"/>
    </w:rPr>
  </w:style>
  <w:style w:type="paragraph" w:customStyle="1" w:styleId="ManualConsidrant">
    <w:name w:val="Manual Considérant"/>
    <w:basedOn w:val="Normal"/>
    <w:rsid w:val="00592EE1"/>
    <w:pPr>
      <w:spacing w:before="120" w:after="120" w:line="240" w:lineRule="auto"/>
      <w:ind w:left="709" w:hanging="709"/>
      <w:jc w:val="both"/>
    </w:pPr>
    <w:rPr>
      <w:rFonts w:ascii="Times New Roman" w:eastAsia="Calibri" w:hAnsi="Times New Roman" w:cs="Times New Roman"/>
      <w:sz w:val="24"/>
      <w:szCs w:val="20"/>
      <w:lang w:eastAsia="en-GB"/>
    </w:rPr>
  </w:style>
  <w:style w:type="paragraph" w:customStyle="1" w:styleId="Personnequisigne">
    <w:name w:val="Personne qui signe"/>
    <w:basedOn w:val="Normal"/>
    <w:next w:val="Institutionquisigne"/>
    <w:rsid w:val="00592EE1"/>
    <w:pPr>
      <w:tabs>
        <w:tab w:val="left" w:pos="4252"/>
      </w:tabs>
      <w:spacing w:after="0" w:line="240" w:lineRule="auto"/>
    </w:pPr>
    <w:rPr>
      <w:rFonts w:ascii="Times New Roman" w:eastAsia="Calibri" w:hAnsi="Times New Roman" w:cs="Times New Roman"/>
      <w:i/>
      <w:sz w:val="24"/>
      <w:szCs w:val="20"/>
      <w:lang w:eastAsia="en-GB"/>
    </w:rPr>
  </w:style>
  <w:style w:type="paragraph" w:customStyle="1" w:styleId="Titrearticle">
    <w:name w:val="Titre article"/>
    <w:basedOn w:val="Normal"/>
    <w:next w:val="Normal"/>
    <w:rsid w:val="00592EE1"/>
    <w:pPr>
      <w:keepNext/>
      <w:spacing w:before="360" w:after="120" w:line="240" w:lineRule="auto"/>
      <w:jc w:val="center"/>
    </w:pPr>
    <w:rPr>
      <w:rFonts w:ascii="Times New Roman" w:eastAsia="Calibri" w:hAnsi="Times New Roman" w:cs="Times New Roman"/>
      <w:i/>
      <w:sz w:val="24"/>
      <w:szCs w:val="20"/>
      <w:lang w:eastAsia="en-GB"/>
    </w:rPr>
  </w:style>
  <w:style w:type="paragraph" w:styleId="NormalWeb">
    <w:name w:val="Normal (Web)"/>
    <w:basedOn w:val="Normal"/>
    <w:uiPriority w:val="99"/>
    <w:unhideWhenUsed/>
    <w:rsid w:val="00592E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idrant">
    <w:name w:val="Considérant"/>
    <w:basedOn w:val="Normal"/>
    <w:rsid w:val="00592EE1"/>
    <w:pPr>
      <w:numPr>
        <w:numId w:val="3"/>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117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96"/>
    <w:rPr>
      <w:rFonts w:ascii="Segoe UI" w:hAnsi="Segoe UI" w:cs="Segoe UI"/>
      <w:sz w:val="18"/>
      <w:szCs w:val="18"/>
      <w:lang w:val="en-GB"/>
    </w:rPr>
  </w:style>
  <w:style w:type="character" w:styleId="CommentReference">
    <w:name w:val="annotation reference"/>
    <w:basedOn w:val="DefaultParagraphFont"/>
    <w:semiHidden/>
    <w:unhideWhenUsed/>
    <w:rsid w:val="003F7ACC"/>
    <w:rPr>
      <w:sz w:val="16"/>
      <w:szCs w:val="16"/>
    </w:rPr>
  </w:style>
  <w:style w:type="paragraph" w:styleId="CommentText">
    <w:name w:val="annotation text"/>
    <w:basedOn w:val="Normal"/>
    <w:link w:val="CommentTextChar"/>
    <w:semiHidden/>
    <w:unhideWhenUsed/>
    <w:rsid w:val="003F7ACC"/>
    <w:pPr>
      <w:spacing w:line="240" w:lineRule="auto"/>
    </w:pPr>
    <w:rPr>
      <w:sz w:val="20"/>
      <w:szCs w:val="20"/>
    </w:rPr>
  </w:style>
  <w:style w:type="character" w:customStyle="1" w:styleId="CommentTextChar">
    <w:name w:val="Comment Text Char"/>
    <w:basedOn w:val="DefaultParagraphFont"/>
    <w:link w:val="CommentText"/>
    <w:semiHidden/>
    <w:rsid w:val="003F7ACC"/>
    <w:rPr>
      <w:sz w:val="20"/>
      <w:szCs w:val="20"/>
      <w:lang w:val="en-GB"/>
    </w:rPr>
  </w:style>
  <w:style w:type="paragraph" w:styleId="CommentSubject">
    <w:name w:val="annotation subject"/>
    <w:basedOn w:val="CommentText"/>
    <w:next w:val="CommentText"/>
    <w:link w:val="CommentSubjectChar"/>
    <w:uiPriority w:val="99"/>
    <w:semiHidden/>
    <w:unhideWhenUsed/>
    <w:rsid w:val="003F7ACC"/>
    <w:rPr>
      <w:b/>
      <w:bCs/>
    </w:rPr>
  </w:style>
  <w:style w:type="character" w:customStyle="1" w:styleId="CommentSubjectChar">
    <w:name w:val="Comment Subject Char"/>
    <w:basedOn w:val="CommentTextChar"/>
    <w:link w:val="CommentSubject"/>
    <w:uiPriority w:val="99"/>
    <w:semiHidden/>
    <w:rsid w:val="003F7ACC"/>
    <w:rPr>
      <w:b/>
      <w:bCs/>
      <w:sz w:val="20"/>
      <w:szCs w:val="20"/>
      <w:lang w:val="en-GB"/>
    </w:rPr>
  </w:style>
  <w:style w:type="paragraph" w:customStyle="1" w:styleId="ListBullet1">
    <w:name w:val="List Bullet 1"/>
    <w:basedOn w:val="Normal"/>
    <w:rsid w:val="00343EA3"/>
    <w:pPr>
      <w:numPr>
        <w:numId w:val="4"/>
      </w:numPr>
      <w:spacing w:before="120" w:after="120" w:line="240" w:lineRule="auto"/>
      <w:jc w:val="both"/>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8762">
      <w:bodyDiv w:val="1"/>
      <w:marLeft w:val="0"/>
      <w:marRight w:val="0"/>
      <w:marTop w:val="0"/>
      <w:marBottom w:val="0"/>
      <w:divBdr>
        <w:top w:val="none" w:sz="0" w:space="0" w:color="auto"/>
        <w:left w:val="none" w:sz="0" w:space="0" w:color="auto"/>
        <w:bottom w:val="none" w:sz="0" w:space="0" w:color="auto"/>
        <w:right w:val="none" w:sz="0" w:space="0" w:color="auto"/>
      </w:divBdr>
    </w:div>
    <w:div w:id="12199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92FE3560A7F9954A91A6EB4C5494B62E" ma:contentTypeVersion="0" ma:contentTypeDescription="Create a new document in this library." ma:contentTypeScope="" ma:versionID="63e30f6eba89da32232b9ff086b7f788">
  <xsd:schema xmlns:xsd="http://www.w3.org/2001/XMLSchema" xmlns:xs="http://www.w3.org/2001/XMLSchema" xmlns:p="http://schemas.microsoft.com/office/2006/metadata/properties" xmlns:ns2="http://schemas.microsoft.com/sharepoint/v3/fields" xmlns:ns3="8473714c-debe-4410-bc4d-709054bd603b" targetNamespace="http://schemas.microsoft.com/office/2006/metadata/properties" ma:root="true" ma:fieldsID="81c96eea90a13c8db0c8957d674f3221" ns2:_="" ns3:_="">
    <xsd:import namespace="http://schemas.microsoft.com/sharepoint/v3/fields"/>
    <xsd:import namespace="8473714c-debe-4410-bc4d-709054bd603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473714c-debe-4410-bc4d-709054bd603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8473714c-debe-4410-bc4d-709054bd603b">EN</EC_Collab_DocumentLanguage>
    <_Status xmlns="http://schemas.microsoft.com/sharepoint/v3/fields">Not Started</_Status>
    <EC_Collab_Status xmlns="8473714c-debe-4410-bc4d-709054bd603b">Not Started</EC_Collab_Status>
    <EC_Collab_Reference xmlns="8473714c-debe-4410-bc4d-709054bd60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8F77-5782-43D0-B88C-02D50CA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473714c-debe-4410-bc4d-709054bd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6D7A4-45C2-4E64-922C-432970062E42}">
  <ds:schemaRefs>
    <ds:schemaRef ds:uri="http://schemas.microsoft.com/sharepoint/v3/contenttype/forms"/>
  </ds:schemaRefs>
</ds:datastoreItem>
</file>

<file path=customXml/itemProps3.xml><?xml version="1.0" encoding="utf-8"?>
<ds:datastoreItem xmlns:ds="http://schemas.openxmlformats.org/officeDocument/2006/customXml" ds:itemID="{85B37548-4C01-481D-8EC1-972B9D0D699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473714c-debe-4410-bc4d-709054bd603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1BDC5C12-9A81-4073-89C2-6F17AFE7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11826</Characters>
  <Application>Microsoft Office Word</Application>
  <DocSecurity>0</DocSecurity>
  <Lines>288</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 Paola (EMPL-EXT)</dc:creator>
  <cp:keywords/>
  <dc:description/>
  <cp:lastModifiedBy>DAIEFF Laura (EMPL-EXT)</cp:lastModifiedBy>
  <cp:revision>2</cp:revision>
  <dcterms:created xsi:type="dcterms:W3CDTF">2020-04-29T11:44:00Z</dcterms:created>
  <dcterms:modified xsi:type="dcterms:W3CDTF">2020-04-29T11:44:00Z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0x010100258AA79CEB83498886A3A086811232500092FE3560A7F9954A91A6EB4C5494B62E</vt:lpwstr>
  </property>
</Properties>
</file>